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5190" w14:textId="6E944A6F" w:rsidR="00CB47D8" w:rsidRPr="00CB47D8" w:rsidRDefault="00CB47D8" w:rsidP="00CB47D8">
      <w:pPr>
        <w:rPr>
          <w:sz w:val="22"/>
          <w:szCs w:val="22"/>
        </w:rPr>
      </w:pPr>
      <w:r w:rsidRPr="00CB47D8">
        <w:rPr>
          <w:b/>
          <w:bCs/>
          <w:sz w:val="22"/>
          <w:szCs w:val="22"/>
        </w:rPr>
        <w:t>OSNOVNA ŠKOLA „ĐURO ESTER“</w:t>
      </w:r>
      <w:r>
        <w:rPr>
          <w:b/>
          <w:bCs/>
          <w:sz w:val="22"/>
          <w:szCs w:val="22"/>
        </w:rPr>
        <w:tab/>
      </w:r>
      <w:r>
        <w:rPr>
          <w:b/>
          <w:bCs/>
          <w:sz w:val="22"/>
          <w:szCs w:val="22"/>
        </w:rPr>
        <w:tab/>
      </w:r>
      <w:r>
        <w:rPr>
          <w:b/>
          <w:bCs/>
          <w:sz w:val="22"/>
          <w:szCs w:val="22"/>
        </w:rPr>
        <w:tab/>
      </w:r>
      <w:r>
        <w:rPr>
          <w:b/>
          <w:bCs/>
          <w:sz w:val="22"/>
          <w:szCs w:val="22"/>
        </w:rPr>
        <w:tab/>
      </w:r>
      <w:r>
        <w:rPr>
          <w:sz w:val="22"/>
          <w:szCs w:val="22"/>
        </w:rPr>
        <w:t>Šifra grada/</w:t>
      </w:r>
      <w:proofErr w:type="spellStart"/>
      <w:r>
        <w:rPr>
          <w:sz w:val="22"/>
          <w:szCs w:val="22"/>
        </w:rPr>
        <w:t>opć</w:t>
      </w:r>
      <w:proofErr w:type="spellEnd"/>
      <w:r>
        <w:rPr>
          <w:sz w:val="22"/>
          <w:szCs w:val="22"/>
        </w:rPr>
        <w:t>.: 201</w:t>
      </w:r>
    </w:p>
    <w:p w14:paraId="2375795F" w14:textId="6C9EC4CD" w:rsidR="00CB47D8" w:rsidRPr="00CB47D8" w:rsidRDefault="00CB47D8" w:rsidP="00CB47D8">
      <w:pPr>
        <w:rPr>
          <w:b/>
          <w:bCs/>
          <w:sz w:val="22"/>
          <w:szCs w:val="22"/>
        </w:rPr>
      </w:pPr>
      <w:r w:rsidRPr="00CB47D8">
        <w:rPr>
          <w:b/>
          <w:bCs/>
          <w:sz w:val="22"/>
          <w:szCs w:val="22"/>
        </w:rPr>
        <w:t>TRG SLOBODE 5</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Broj RKP-a: 08512</w:t>
      </w:r>
      <w:r>
        <w:rPr>
          <w:b/>
          <w:bCs/>
          <w:sz w:val="22"/>
          <w:szCs w:val="22"/>
        </w:rPr>
        <w:tab/>
      </w:r>
    </w:p>
    <w:p w14:paraId="635A88F3" w14:textId="2F1A9609" w:rsidR="00CB47D8" w:rsidRPr="00CB47D8" w:rsidRDefault="00CB47D8" w:rsidP="00CB47D8">
      <w:pPr>
        <w:rPr>
          <w:b/>
          <w:bCs/>
          <w:sz w:val="22"/>
          <w:szCs w:val="22"/>
        </w:rPr>
      </w:pPr>
      <w:r w:rsidRPr="00CB47D8">
        <w:rPr>
          <w:b/>
          <w:bCs/>
          <w:sz w:val="22"/>
          <w:szCs w:val="22"/>
        </w:rPr>
        <w:t>48000 KOPRIVNICA</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B47D8">
        <w:rPr>
          <w:sz w:val="22"/>
          <w:szCs w:val="22"/>
        </w:rPr>
        <w:t>Razina: 31</w:t>
      </w:r>
    </w:p>
    <w:p w14:paraId="2317F575" w14:textId="7DA7A6F6" w:rsidR="00CB47D8" w:rsidRPr="00CB47D8" w:rsidRDefault="00CB47D8" w:rsidP="00CB47D8">
      <w:pPr>
        <w:rPr>
          <w:sz w:val="22"/>
          <w:szCs w:val="22"/>
        </w:rPr>
      </w:pPr>
      <w:r w:rsidRPr="00CB47D8">
        <w:rPr>
          <w:b/>
          <w:bCs/>
          <w:sz w:val="22"/>
          <w:szCs w:val="22"/>
        </w:rPr>
        <w:t>MB: 02017148</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Razdjel: 000</w:t>
      </w:r>
    </w:p>
    <w:p w14:paraId="49AFDADF" w14:textId="25FE045C" w:rsidR="00CB47D8" w:rsidRPr="00CB47D8" w:rsidRDefault="00CB47D8" w:rsidP="00CB47D8">
      <w:pPr>
        <w:rPr>
          <w:b/>
          <w:bCs/>
          <w:sz w:val="22"/>
          <w:szCs w:val="22"/>
        </w:rPr>
      </w:pPr>
      <w:r w:rsidRPr="00CB47D8">
        <w:rPr>
          <w:b/>
          <w:bCs/>
          <w:sz w:val="22"/>
          <w:szCs w:val="22"/>
        </w:rPr>
        <w:t>OIB: 41521296406</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B47D8">
        <w:rPr>
          <w:sz w:val="22"/>
          <w:szCs w:val="22"/>
        </w:rPr>
        <w:t>Šifra djelatnosti:</w:t>
      </w:r>
      <w:r>
        <w:rPr>
          <w:sz w:val="22"/>
          <w:szCs w:val="22"/>
        </w:rPr>
        <w:t xml:space="preserve"> 8520</w:t>
      </w:r>
    </w:p>
    <w:p w14:paraId="1F30B69F" w14:textId="77777777" w:rsidR="0004014A" w:rsidRDefault="0004014A">
      <w:pPr>
        <w:rPr>
          <w:rFonts w:ascii="Tahoma" w:hAnsi="Tahoma" w:cs="Tahoma"/>
          <w:sz w:val="16"/>
          <w:szCs w:val="16"/>
        </w:rPr>
      </w:pPr>
    </w:p>
    <w:p w14:paraId="2ADAB87F" w14:textId="77777777" w:rsidR="0004014A" w:rsidRPr="00A83881" w:rsidRDefault="0004014A">
      <w:pPr>
        <w:rPr>
          <w:rFonts w:ascii="Tahoma" w:hAnsi="Tahoma" w:cs="Tahoma"/>
          <w:sz w:val="16"/>
          <w:szCs w:val="16"/>
        </w:rPr>
      </w:pPr>
    </w:p>
    <w:p w14:paraId="23E4A599" w14:textId="77777777" w:rsidR="0004014A" w:rsidRPr="00A83881" w:rsidRDefault="0004014A">
      <w:pPr>
        <w:rPr>
          <w:rFonts w:ascii="Tahoma" w:hAnsi="Tahoma" w:cs="Tahoma"/>
          <w:sz w:val="16"/>
          <w:szCs w:val="16"/>
        </w:rPr>
      </w:pPr>
    </w:p>
    <w:p w14:paraId="2D77051F" w14:textId="77777777" w:rsidR="00CB47D8" w:rsidRDefault="0004014A" w:rsidP="00CB47D8">
      <w:pPr>
        <w:jc w:val="center"/>
        <w:rPr>
          <w:rStyle w:val="Istaknuto"/>
          <w:i w:val="0"/>
        </w:rPr>
      </w:pPr>
      <w:r w:rsidRPr="00935D20">
        <w:rPr>
          <w:rStyle w:val="Istaknuto"/>
          <w:i w:val="0"/>
        </w:rPr>
        <w:t>B</w:t>
      </w:r>
      <w:r w:rsidR="00CB47D8">
        <w:rPr>
          <w:rStyle w:val="Istaknuto"/>
          <w:i w:val="0"/>
        </w:rPr>
        <w:t xml:space="preserve"> </w:t>
      </w:r>
      <w:r w:rsidRPr="00935D20">
        <w:rPr>
          <w:rStyle w:val="Istaknuto"/>
          <w:i w:val="0"/>
        </w:rPr>
        <w:t>I</w:t>
      </w:r>
      <w:r w:rsidR="00CB47D8">
        <w:rPr>
          <w:rStyle w:val="Istaknuto"/>
          <w:i w:val="0"/>
        </w:rPr>
        <w:t xml:space="preserve"> </w:t>
      </w:r>
      <w:r w:rsidRPr="00935D20">
        <w:rPr>
          <w:rStyle w:val="Istaknuto"/>
          <w:i w:val="0"/>
        </w:rPr>
        <w:t>LJ</w:t>
      </w:r>
      <w:r w:rsidR="00CB47D8">
        <w:rPr>
          <w:rStyle w:val="Istaknuto"/>
          <w:i w:val="0"/>
        </w:rPr>
        <w:t xml:space="preserve"> </w:t>
      </w:r>
      <w:r w:rsidRPr="00935D20">
        <w:rPr>
          <w:rStyle w:val="Istaknuto"/>
          <w:i w:val="0"/>
        </w:rPr>
        <w:t>E</w:t>
      </w:r>
      <w:r w:rsidR="00CB47D8">
        <w:rPr>
          <w:rStyle w:val="Istaknuto"/>
          <w:i w:val="0"/>
        </w:rPr>
        <w:t xml:space="preserve"> </w:t>
      </w:r>
      <w:r w:rsidRPr="00935D20">
        <w:rPr>
          <w:rStyle w:val="Istaknuto"/>
          <w:i w:val="0"/>
        </w:rPr>
        <w:t>Š</w:t>
      </w:r>
      <w:r w:rsidR="00CB47D8">
        <w:rPr>
          <w:rStyle w:val="Istaknuto"/>
          <w:i w:val="0"/>
        </w:rPr>
        <w:t xml:space="preserve"> </w:t>
      </w:r>
      <w:r w:rsidRPr="00935D20">
        <w:rPr>
          <w:rStyle w:val="Istaknuto"/>
          <w:i w:val="0"/>
        </w:rPr>
        <w:t>K</w:t>
      </w:r>
      <w:r w:rsidR="00CB47D8">
        <w:rPr>
          <w:rStyle w:val="Istaknuto"/>
          <w:i w:val="0"/>
        </w:rPr>
        <w:t xml:space="preserve"> </w:t>
      </w:r>
      <w:r w:rsidRPr="00935D20">
        <w:rPr>
          <w:rStyle w:val="Istaknuto"/>
          <w:i w:val="0"/>
        </w:rPr>
        <w:t>E</w:t>
      </w:r>
    </w:p>
    <w:p w14:paraId="550DCB41" w14:textId="77777777" w:rsidR="00CB47D8" w:rsidRDefault="0004014A" w:rsidP="00CB47D8">
      <w:pPr>
        <w:jc w:val="center"/>
        <w:rPr>
          <w:rStyle w:val="Istaknuto"/>
          <w:i w:val="0"/>
        </w:rPr>
      </w:pPr>
      <w:r w:rsidRPr="00935D20">
        <w:rPr>
          <w:rStyle w:val="Istaknuto"/>
          <w:i w:val="0"/>
        </w:rPr>
        <w:t xml:space="preserve"> UZ </w:t>
      </w:r>
      <w:r w:rsidR="00CB47D8">
        <w:rPr>
          <w:rStyle w:val="Istaknuto"/>
          <w:i w:val="0"/>
        </w:rPr>
        <w:t xml:space="preserve">FINANCIJSKA IZVJEŠĆA </w:t>
      </w:r>
    </w:p>
    <w:p w14:paraId="5A6DA1E7" w14:textId="13BDBF11" w:rsidR="0004014A" w:rsidRPr="00935D20" w:rsidRDefault="00CB47D8" w:rsidP="00CB47D8">
      <w:pPr>
        <w:jc w:val="center"/>
        <w:rPr>
          <w:iCs/>
        </w:rPr>
      </w:pPr>
      <w:r>
        <w:rPr>
          <w:rStyle w:val="Istaknuto"/>
          <w:i w:val="0"/>
        </w:rPr>
        <w:t>ZA RAZDOBLJE 01. siječnja – 31.prosinca 202</w:t>
      </w:r>
      <w:r w:rsidR="0052432E">
        <w:rPr>
          <w:rStyle w:val="Istaknuto"/>
          <w:i w:val="0"/>
        </w:rPr>
        <w:t>1</w:t>
      </w:r>
      <w:r>
        <w:rPr>
          <w:rStyle w:val="Istaknuto"/>
          <w:i w:val="0"/>
        </w:rPr>
        <w:t>.</w:t>
      </w:r>
    </w:p>
    <w:p w14:paraId="3AE8F655" w14:textId="3AE3159F" w:rsidR="0004014A" w:rsidRDefault="0004014A">
      <w:r w:rsidRPr="00935D20">
        <w:tab/>
      </w:r>
    </w:p>
    <w:p w14:paraId="34C13E1E" w14:textId="7478D811" w:rsidR="00CB47D8" w:rsidRDefault="00CB47D8"/>
    <w:p w14:paraId="2C7C2B6A" w14:textId="0E0983DC" w:rsidR="00656AEE" w:rsidRDefault="00CB47D8" w:rsidP="00656AEE">
      <w:pPr>
        <w:jc w:val="both"/>
      </w:pPr>
      <w:r>
        <w:tab/>
      </w:r>
      <w:r w:rsidR="00656AEE">
        <w:t xml:space="preserve">Osnovna škola „Đuro Ester“, Koprivnica (u daljnjem tekstu: Škola) je javna ustanova koja obavlja djelatnost osnovnog odgoja i obrazovanja djece i mladeži. </w:t>
      </w:r>
      <w:r w:rsidR="00656AEE" w:rsidRPr="00656AEE">
        <w:t>Nastava, redovna, izborna, dodatna i dopunska izvodi se prema nastavnim planovima i programima, koje je donijelo Ministarstvo znanosti</w:t>
      </w:r>
      <w:r w:rsidR="00C33499">
        <w:t xml:space="preserve"> i</w:t>
      </w:r>
      <w:r w:rsidR="00656AEE" w:rsidRPr="00656AEE">
        <w:t xml:space="preserve"> obrazovanja i operativnom Godišnjem izvedbenom odgojno obrazovanom planu i programu rada. </w:t>
      </w:r>
    </w:p>
    <w:p w14:paraId="69546E02" w14:textId="12F03589" w:rsidR="00656AEE" w:rsidRDefault="00656AEE" w:rsidP="00656AEE">
      <w:pPr>
        <w:jc w:val="both"/>
      </w:pPr>
      <w:r>
        <w:tab/>
        <w:t>Osnivač škole je Grad Koprivnica na temelju</w:t>
      </w:r>
      <w:r w:rsidR="001B2911">
        <w:t xml:space="preserve"> Odluke Gradskog vijeća Grada Koprivnice</w:t>
      </w:r>
      <w:r w:rsidR="00C33499">
        <w:t>. Odgovorna osoba škole je ravnateljica mr. Sanja Prelogović.</w:t>
      </w:r>
    </w:p>
    <w:p w14:paraId="6925C160" w14:textId="24427F52" w:rsidR="00C33499" w:rsidRDefault="00C33499" w:rsidP="00656AEE">
      <w:pPr>
        <w:jc w:val="both"/>
      </w:pPr>
      <w:r>
        <w:tab/>
        <w:t>Škola nije obveznik PDV-a temeljem članka 39. stavak 1. točka i) Zakona o PDV-u.</w:t>
      </w:r>
    </w:p>
    <w:p w14:paraId="261B2942" w14:textId="7B0A92DA" w:rsidR="00C33499" w:rsidRDefault="00C33499" w:rsidP="00656AEE">
      <w:pPr>
        <w:jc w:val="both"/>
      </w:pPr>
    </w:p>
    <w:p w14:paraId="5FB0B924" w14:textId="4517649D" w:rsidR="00C33499" w:rsidRDefault="00C33499" w:rsidP="00C33499">
      <w:pPr>
        <w:ind w:firstLine="708"/>
        <w:jc w:val="both"/>
      </w:pPr>
      <w:r>
        <w:t xml:space="preserve">Za sastavljanje Bilješki uz financijska izvješća odgovorna je Mirjana Kolarek, voditeljica računovodstva. </w:t>
      </w:r>
    </w:p>
    <w:p w14:paraId="2D7BC296" w14:textId="4D025E31" w:rsidR="00C33499" w:rsidRDefault="00C33499" w:rsidP="00C33499">
      <w:pPr>
        <w:ind w:firstLine="708"/>
        <w:jc w:val="both"/>
      </w:pPr>
      <w:r>
        <w:t>Financijsko izvješće usvaja Školski odbor na prijedlog ravnateljice.</w:t>
      </w:r>
    </w:p>
    <w:p w14:paraId="48C0BF28" w14:textId="1E144552" w:rsidR="00C33499" w:rsidRDefault="00C33499" w:rsidP="00656AEE">
      <w:pPr>
        <w:jc w:val="both"/>
      </w:pPr>
    </w:p>
    <w:p w14:paraId="0AB42FB0" w14:textId="3D961EB2" w:rsidR="00C33499" w:rsidRDefault="00C33499" w:rsidP="00656AEE">
      <w:pPr>
        <w:jc w:val="both"/>
      </w:pPr>
    </w:p>
    <w:p w14:paraId="43246F80" w14:textId="4A8F521F" w:rsidR="00C33499" w:rsidRPr="00C33499" w:rsidRDefault="00C33499" w:rsidP="00656AEE">
      <w:pPr>
        <w:jc w:val="both"/>
      </w:pPr>
      <w:r>
        <w:rPr>
          <w:b/>
          <w:bCs/>
          <w:u w:val="single"/>
        </w:rPr>
        <w:t>BILJEŠKE UZ PR-RAS</w:t>
      </w:r>
    </w:p>
    <w:p w14:paraId="5B05F5D7" w14:textId="5507C86F" w:rsidR="00CB47D8" w:rsidRPr="00935D20" w:rsidRDefault="00CB47D8"/>
    <w:p w14:paraId="163EE56F" w14:textId="77777777" w:rsidR="0004014A" w:rsidRPr="00935D20" w:rsidRDefault="0004014A">
      <w:pPr>
        <w:rPr>
          <w:rStyle w:val="Istaknuto"/>
          <w:i w:val="0"/>
        </w:rPr>
      </w:pPr>
      <w:r w:rsidRPr="00935D20">
        <w:rPr>
          <w:rStyle w:val="Istaknuto"/>
          <w:i w:val="0"/>
        </w:rPr>
        <w:t>Bilješka broj 1</w:t>
      </w:r>
    </w:p>
    <w:p w14:paraId="05F4A2E7" w14:textId="77777777" w:rsidR="0004014A" w:rsidRPr="00935D20" w:rsidRDefault="0004014A"/>
    <w:p w14:paraId="151A27A6" w14:textId="77777777" w:rsidR="0004014A" w:rsidRDefault="0004014A">
      <w:r w:rsidRPr="00E83BE3">
        <w:rPr>
          <w:b/>
          <w:bCs/>
          <w:u w:val="single"/>
        </w:rPr>
        <w:t>PRIHODI POSLOVANJA</w:t>
      </w:r>
      <w:r w:rsidRPr="00935D20">
        <w:t xml:space="preserve"> AOP 00</w:t>
      </w:r>
      <w:r w:rsidR="00935D20">
        <w:t xml:space="preserve">1 </w:t>
      </w:r>
    </w:p>
    <w:p w14:paraId="276FD9D5" w14:textId="77777777" w:rsidR="00935D20" w:rsidRDefault="00935D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2891"/>
      </w:tblGrid>
      <w:tr w:rsidR="00935D20" w14:paraId="2DDD4EB5" w14:textId="77777777" w:rsidTr="004E7767">
        <w:tc>
          <w:tcPr>
            <w:tcW w:w="6170" w:type="dxa"/>
            <w:shd w:val="clear" w:color="auto" w:fill="auto"/>
          </w:tcPr>
          <w:p w14:paraId="090481A5" w14:textId="77777777" w:rsidR="00935D20" w:rsidRDefault="00935D20">
            <w:r>
              <w:t>Opći prihodi i primici - školstvo</w:t>
            </w:r>
          </w:p>
        </w:tc>
        <w:tc>
          <w:tcPr>
            <w:tcW w:w="2891" w:type="dxa"/>
            <w:shd w:val="clear" w:color="auto" w:fill="auto"/>
          </w:tcPr>
          <w:p w14:paraId="4BA05770" w14:textId="7EA98455" w:rsidR="00935D20" w:rsidRPr="00BD4953" w:rsidRDefault="0052432E" w:rsidP="004E7767">
            <w:pPr>
              <w:jc w:val="center"/>
            </w:pPr>
            <w:r w:rsidRPr="00BD4953">
              <w:t>2.826.422,92</w:t>
            </w:r>
          </w:p>
          <w:p w14:paraId="0CEE5270" w14:textId="5B6EFB02" w:rsidR="00825C9D" w:rsidRDefault="00825C9D" w:rsidP="004E7767">
            <w:pPr>
              <w:jc w:val="center"/>
            </w:pPr>
          </w:p>
        </w:tc>
      </w:tr>
      <w:tr w:rsidR="00935D20" w14:paraId="5EEA2189" w14:textId="77777777" w:rsidTr="0052432E">
        <w:trPr>
          <w:trHeight w:val="471"/>
        </w:trPr>
        <w:tc>
          <w:tcPr>
            <w:tcW w:w="6170" w:type="dxa"/>
            <w:shd w:val="clear" w:color="auto" w:fill="auto"/>
          </w:tcPr>
          <w:p w14:paraId="1E213C30" w14:textId="77777777" w:rsidR="00935D20" w:rsidRDefault="002547D7">
            <w:r>
              <w:t>Prihod za posebne namjene</w:t>
            </w:r>
            <w:r w:rsidR="00935D20">
              <w:t xml:space="preserve"> (školska kuhinja, osiguranje učenika, majice s logom škole, testovi)</w:t>
            </w:r>
          </w:p>
        </w:tc>
        <w:tc>
          <w:tcPr>
            <w:tcW w:w="2891" w:type="dxa"/>
            <w:shd w:val="clear" w:color="auto" w:fill="auto"/>
          </w:tcPr>
          <w:p w14:paraId="7C0ECD62" w14:textId="633D4C80" w:rsidR="00935D20" w:rsidRDefault="0052432E" w:rsidP="005D1110">
            <w:pPr>
              <w:jc w:val="center"/>
            </w:pPr>
            <w:r>
              <w:t>568.932,05</w:t>
            </w:r>
          </w:p>
        </w:tc>
      </w:tr>
      <w:tr w:rsidR="00935D20" w14:paraId="070D67BE" w14:textId="77777777" w:rsidTr="004E7767">
        <w:tc>
          <w:tcPr>
            <w:tcW w:w="6170" w:type="dxa"/>
            <w:shd w:val="clear" w:color="auto" w:fill="auto"/>
          </w:tcPr>
          <w:p w14:paraId="57156533" w14:textId="77777777" w:rsidR="00935D20" w:rsidRDefault="00C92295">
            <w:r>
              <w:t>Prihod od prodaje starog papira</w:t>
            </w:r>
            <w:r w:rsidR="00E87A0C">
              <w:t xml:space="preserve"> i ostali nes</w:t>
            </w:r>
            <w:r w:rsidR="00DA27BD">
              <w:t>pomenuti prihodi</w:t>
            </w:r>
          </w:p>
        </w:tc>
        <w:tc>
          <w:tcPr>
            <w:tcW w:w="2891" w:type="dxa"/>
            <w:shd w:val="clear" w:color="auto" w:fill="auto"/>
          </w:tcPr>
          <w:p w14:paraId="6AD84CF6" w14:textId="497097B3" w:rsidR="00190A8F" w:rsidRDefault="0052432E" w:rsidP="00190A8F">
            <w:pPr>
              <w:jc w:val="center"/>
            </w:pPr>
            <w:r>
              <w:t>2.072,97</w:t>
            </w:r>
          </w:p>
        </w:tc>
      </w:tr>
      <w:tr w:rsidR="00935D20" w14:paraId="4A648A79" w14:textId="77777777" w:rsidTr="004E7767">
        <w:tc>
          <w:tcPr>
            <w:tcW w:w="6170" w:type="dxa"/>
            <w:shd w:val="clear" w:color="auto" w:fill="auto"/>
          </w:tcPr>
          <w:p w14:paraId="528B7249" w14:textId="77777777" w:rsidR="00935D20" w:rsidRDefault="00C92295">
            <w:r>
              <w:t>Prihod županije za županijska natjecanja</w:t>
            </w:r>
          </w:p>
        </w:tc>
        <w:tc>
          <w:tcPr>
            <w:tcW w:w="2891" w:type="dxa"/>
            <w:shd w:val="clear" w:color="auto" w:fill="auto"/>
          </w:tcPr>
          <w:p w14:paraId="4AAC2DC4" w14:textId="750B197B" w:rsidR="002547D7" w:rsidRDefault="0052432E" w:rsidP="002547D7">
            <w:pPr>
              <w:jc w:val="center"/>
            </w:pPr>
            <w:r>
              <w:t>3.737,03</w:t>
            </w:r>
          </w:p>
        </w:tc>
      </w:tr>
      <w:tr w:rsidR="00935D20" w14:paraId="72320955" w14:textId="77777777" w:rsidTr="004E7767">
        <w:tc>
          <w:tcPr>
            <w:tcW w:w="6170" w:type="dxa"/>
            <w:shd w:val="clear" w:color="auto" w:fill="auto"/>
          </w:tcPr>
          <w:p w14:paraId="0E212EBC" w14:textId="77777777" w:rsidR="00935D20" w:rsidRDefault="00C92295">
            <w:r>
              <w:t>Pomoći iz državnog proračuna za financiranje plaća zaposlenika škole</w:t>
            </w:r>
          </w:p>
        </w:tc>
        <w:tc>
          <w:tcPr>
            <w:tcW w:w="2891" w:type="dxa"/>
            <w:shd w:val="clear" w:color="auto" w:fill="auto"/>
          </w:tcPr>
          <w:p w14:paraId="2A0A8F8E" w14:textId="1FBDD50A" w:rsidR="00935D20" w:rsidRDefault="0052432E" w:rsidP="005D1110">
            <w:pPr>
              <w:jc w:val="center"/>
            </w:pPr>
            <w:r>
              <w:t>9.921.850,54</w:t>
            </w:r>
          </w:p>
        </w:tc>
      </w:tr>
      <w:tr w:rsidR="00935D20" w14:paraId="3ADB2B76" w14:textId="77777777" w:rsidTr="004E7767">
        <w:tc>
          <w:tcPr>
            <w:tcW w:w="6170" w:type="dxa"/>
            <w:shd w:val="clear" w:color="auto" w:fill="auto"/>
          </w:tcPr>
          <w:p w14:paraId="049CFE6A" w14:textId="107CC754" w:rsidR="00935D20" w:rsidRDefault="00C92295">
            <w:r>
              <w:t xml:space="preserve">Tekuće pomoći iz državnog proračuna za </w:t>
            </w:r>
            <w:r w:rsidR="00CA2F4E">
              <w:t>nabav</w:t>
            </w:r>
            <w:r w:rsidR="0052432E">
              <w:t>e</w:t>
            </w:r>
            <w:r w:rsidR="00CA2F4E">
              <w:t xml:space="preserve"> </w:t>
            </w:r>
            <w:r w:rsidR="004C438B">
              <w:t>radnih udžbenika</w:t>
            </w:r>
            <w:r w:rsidR="00F35ED0">
              <w:t>, naknade za mentorstvo</w:t>
            </w:r>
            <w:r w:rsidR="0052432E">
              <w:t>, sudske isplate</w:t>
            </w:r>
          </w:p>
        </w:tc>
        <w:tc>
          <w:tcPr>
            <w:tcW w:w="2891" w:type="dxa"/>
            <w:shd w:val="clear" w:color="auto" w:fill="auto"/>
          </w:tcPr>
          <w:p w14:paraId="6E7C15AA" w14:textId="77777777" w:rsidR="00014764" w:rsidRDefault="00014764" w:rsidP="005D1110">
            <w:pPr>
              <w:jc w:val="center"/>
            </w:pPr>
          </w:p>
          <w:p w14:paraId="15D8D7CA" w14:textId="5A8E642D" w:rsidR="00935D20" w:rsidRDefault="0052432E" w:rsidP="005D1110">
            <w:pPr>
              <w:jc w:val="center"/>
            </w:pPr>
            <w:r>
              <w:t>342.993,10</w:t>
            </w:r>
          </w:p>
        </w:tc>
      </w:tr>
      <w:tr w:rsidR="00935D20" w14:paraId="61332EC4" w14:textId="77777777" w:rsidTr="004E7767">
        <w:tc>
          <w:tcPr>
            <w:tcW w:w="6170" w:type="dxa"/>
            <w:shd w:val="clear" w:color="auto" w:fill="auto"/>
          </w:tcPr>
          <w:p w14:paraId="051F27DC" w14:textId="1456247A" w:rsidR="00935D20" w:rsidRDefault="00CA2F4E">
            <w:r>
              <w:t>Kapitalne donacije</w:t>
            </w:r>
            <w:r w:rsidR="0052432E">
              <w:t xml:space="preserve"> </w:t>
            </w:r>
          </w:p>
        </w:tc>
        <w:tc>
          <w:tcPr>
            <w:tcW w:w="2891" w:type="dxa"/>
            <w:shd w:val="clear" w:color="auto" w:fill="auto"/>
          </w:tcPr>
          <w:p w14:paraId="1748DC2B" w14:textId="6FBA9414" w:rsidR="00935D20" w:rsidRDefault="0052432E" w:rsidP="005D1110">
            <w:pPr>
              <w:jc w:val="center"/>
            </w:pPr>
            <w:r>
              <w:t>1.208,52</w:t>
            </w:r>
          </w:p>
        </w:tc>
      </w:tr>
      <w:tr w:rsidR="00190A8F" w14:paraId="7F2F2961" w14:textId="77777777" w:rsidTr="004E7767">
        <w:tc>
          <w:tcPr>
            <w:tcW w:w="6170" w:type="dxa"/>
            <w:shd w:val="clear" w:color="auto" w:fill="auto"/>
          </w:tcPr>
          <w:p w14:paraId="03960A8B" w14:textId="673CBA24" w:rsidR="00190A8F" w:rsidRDefault="00190A8F">
            <w:r>
              <w:t>Kapitalne pomoći iz nenadležnog proračuna</w:t>
            </w:r>
            <w:r w:rsidR="0052432E">
              <w:t xml:space="preserve"> (za nabavu udžbenika i lektire za školsku knjižnicu)</w:t>
            </w:r>
          </w:p>
        </w:tc>
        <w:tc>
          <w:tcPr>
            <w:tcW w:w="2891" w:type="dxa"/>
            <w:shd w:val="clear" w:color="auto" w:fill="auto"/>
          </w:tcPr>
          <w:p w14:paraId="2E1F3B35" w14:textId="7F17A5E7" w:rsidR="00190A8F" w:rsidRDefault="0052432E" w:rsidP="00190A8F">
            <w:pPr>
              <w:jc w:val="center"/>
            </w:pPr>
            <w:r>
              <w:t>74.237,94</w:t>
            </w:r>
          </w:p>
        </w:tc>
      </w:tr>
      <w:tr w:rsidR="00935D20" w14:paraId="59CD20B9" w14:textId="77777777" w:rsidTr="004E7767">
        <w:tc>
          <w:tcPr>
            <w:tcW w:w="6170" w:type="dxa"/>
            <w:shd w:val="clear" w:color="auto" w:fill="auto"/>
          </w:tcPr>
          <w:p w14:paraId="4F53793B" w14:textId="77777777" w:rsidR="00935D20" w:rsidRDefault="00CA2F4E">
            <w:r>
              <w:t>Opći prihodi i primici – izvor Grad Koprivnica</w:t>
            </w:r>
          </w:p>
        </w:tc>
        <w:tc>
          <w:tcPr>
            <w:tcW w:w="2891" w:type="dxa"/>
            <w:shd w:val="clear" w:color="auto" w:fill="auto"/>
          </w:tcPr>
          <w:p w14:paraId="505EA42D" w14:textId="7807623D" w:rsidR="00935D20" w:rsidRDefault="0052432E" w:rsidP="005D1110">
            <w:pPr>
              <w:jc w:val="center"/>
            </w:pPr>
            <w:r>
              <w:t>507.544,35</w:t>
            </w:r>
          </w:p>
        </w:tc>
      </w:tr>
      <w:tr w:rsidR="00935D20" w14:paraId="14A8A984" w14:textId="77777777" w:rsidTr="004E7767">
        <w:tc>
          <w:tcPr>
            <w:tcW w:w="6170" w:type="dxa"/>
            <w:shd w:val="clear" w:color="auto" w:fill="auto"/>
          </w:tcPr>
          <w:p w14:paraId="2D6D32E6" w14:textId="77777777" w:rsidR="00CE2BB4" w:rsidRDefault="00CA2F4E">
            <w:r>
              <w:t xml:space="preserve">Tekuće pomoći iz </w:t>
            </w:r>
            <w:r w:rsidR="00CE2BB4">
              <w:t>proračuna – nacionalno sufinanciranje</w:t>
            </w:r>
          </w:p>
        </w:tc>
        <w:tc>
          <w:tcPr>
            <w:tcW w:w="2891" w:type="dxa"/>
            <w:shd w:val="clear" w:color="auto" w:fill="auto"/>
          </w:tcPr>
          <w:p w14:paraId="5146654A" w14:textId="09FE02EF" w:rsidR="00935D20" w:rsidRDefault="0052432E" w:rsidP="005D1110">
            <w:pPr>
              <w:jc w:val="center"/>
            </w:pPr>
            <w:r>
              <w:t>89.014,46</w:t>
            </w:r>
          </w:p>
        </w:tc>
      </w:tr>
      <w:tr w:rsidR="00CA2F4E" w14:paraId="4A4C814D" w14:textId="77777777" w:rsidTr="004E7767">
        <w:tc>
          <w:tcPr>
            <w:tcW w:w="6170" w:type="dxa"/>
            <w:shd w:val="clear" w:color="auto" w:fill="auto"/>
          </w:tcPr>
          <w:p w14:paraId="257BFA6E" w14:textId="77777777" w:rsidR="00CA2F4E" w:rsidRDefault="00CE2BB4" w:rsidP="00CA2F4E">
            <w:r>
              <w:t>Tekuće donacije</w:t>
            </w:r>
          </w:p>
        </w:tc>
        <w:tc>
          <w:tcPr>
            <w:tcW w:w="2891" w:type="dxa"/>
            <w:shd w:val="clear" w:color="auto" w:fill="auto"/>
          </w:tcPr>
          <w:p w14:paraId="204320C2" w14:textId="4F331697" w:rsidR="00CA2F4E" w:rsidRDefault="004C438B" w:rsidP="005D1110">
            <w:pPr>
              <w:jc w:val="center"/>
            </w:pPr>
            <w:r>
              <w:t>4.4</w:t>
            </w:r>
            <w:r w:rsidR="0052432E">
              <w:t>50</w:t>
            </w:r>
            <w:r>
              <w:t>,00</w:t>
            </w:r>
          </w:p>
        </w:tc>
      </w:tr>
      <w:tr w:rsidR="00CE2BB4" w14:paraId="6B11D5DB" w14:textId="77777777" w:rsidTr="004E7767">
        <w:tc>
          <w:tcPr>
            <w:tcW w:w="6170" w:type="dxa"/>
            <w:shd w:val="clear" w:color="auto" w:fill="auto"/>
          </w:tcPr>
          <w:p w14:paraId="11918854" w14:textId="2BB7D977" w:rsidR="00CE2BB4" w:rsidRDefault="00CE2BB4" w:rsidP="00CA2F4E">
            <w:r>
              <w:t xml:space="preserve">Tekuće pomoći iz </w:t>
            </w:r>
            <w:proofErr w:type="spellStart"/>
            <w:r>
              <w:t>drž</w:t>
            </w:r>
            <w:proofErr w:type="spellEnd"/>
            <w:r>
              <w:t xml:space="preserve">. </w:t>
            </w:r>
            <w:r w:rsidR="006B2C3C">
              <w:t>p</w:t>
            </w:r>
            <w:r>
              <w:t>roračuna – EU sredstva</w:t>
            </w:r>
          </w:p>
        </w:tc>
        <w:tc>
          <w:tcPr>
            <w:tcW w:w="2891" w:type="dxa"/>
            <w:shd w:val="clear" w:color="auto" w:fill="auto"/>
          </w:tcPr>
          <w:p w14:paraId="1727C088" w14:textId="359B65B0" w:rsidR="00CE2BB4" w:rsidRDefault="00BD4953" w:rsidP="005D1110">
            <w:pPr>
              <w:jc w:val="center"/>
            </w:pPr>
            <w:r>
              <w:t>150.180,32</w:t>
            </w:r>
          </w:p>
        </w:tc>
      </w:tr>
      <w:tr w:rsidR="00BB6487" w:rsidRPr="005D1110" w14:paraId="14FFE686" w14:textId="77777777" w:rsidTr="004E7767">
        <w:tc>
          <w:tcPr>
            <w:tcW w:w="6170" w:type="dxa"/>
            <w:shd w:val="clear" w:color="auto" w:fill="auto"/>
          </w:tcPr>
          <w:p w14:paraId="26461218" w14:textId="77777777" w:rsidR="00BB6487" w:rsidRPr="005D1110" w:rsidRDefault="00BB6487" w:rsidP="00CA2F4E">
            <w:pPr>
              <w:rPr>
                <w:b/>
              </w:rPr>
            </w:pPr>
            <w:r w:rsidRPr="005D1110">
              <w:rPr>
                <w:b/>
              </w:rPr>
              <w:t>UKUPNO</w:t>
            </w:r>
          </w:p>
        </w:tc>
        <w:tc>
          <w:tcPr>
            <w:tcW w:w="2891" w:type="dxa"/>
            <w:shd w:val="clear" w:color="auto" w:fill="auto"/>
          </w:tcPr>
          <w:p w14:paraId="6930ECF8" w14:textId="4A06DE0A" w:rsidR="00BB6487" w:rsidRPr="005D1110" w:rsidRDefault="00BD4953" w:rsidP="005D1110">
            <w:pPr>
              <w:jc w:val="center"/>
              <w:rPr>
                <w:b/>
              </w:rPr>
            </w:pPr>
            <w:r>
              <w:rPr>
                <w:b/>
              </w:rPr>
              <w:t>14.492.644,20</w:t>
            </w:r>
          </w:p>
        </w:tc>
      </w:tr>
    </w:tbl>
    <w:p w14:paraId="383B62E5" w14:textId="77777777" w:rsidR="0004014A" w:rsidRPr="00935D20" w:rsidRDefault="0004014A"/>
    <w:p w14:paraId="594DB837" w14:textId="77777777" w:rsidR="0004014A" w:rsidRPr="00935D20" w:rsidRDefault="0004014A">
      <w:pPr>
        <w:rPr>
          <w:rStyle w:val="Istaknuto"/>
          <w:i w:val="0"/>
        </w:rPr>
      </w:pPr>
      <w:r w:rsidRPr="00935D20">
        <w:rPr>
          <w:rStyle w:val="Istaknuto"/>
          <w:i w:val="0"/>
        </w:rPr>
        <w:t>Bilješka  broj 2</w:t>
      </w:r>
    </w:p>
    <w:p w14:paraId="15A10BB2" w14:textId="77777777" w:rsidR="00BE418D" w:rsidRPr="00935D20" w:rsidRDefault="00BE418D">
      <w:pPr>
        <w:rPr>
          <w:rStyle w:val="Istaknuto"/>
          <w:i w:val="0"/>
        </w:rPr>
      </w:pPr>
    </w:p>
    <w:p w14:paraId="683EC215" w14:textId="19DCD308" w:rsidR="00845D88" w:rsidRDefault="00255F96" w:rsidP="00F41AF6">
      <w:r>
        <w:t xml:space="preserve">AOP </w:t>
      </w:r>
      <w:r w:rsidR="007339DD">
        <w:t xml:space="preserve">064 Tekuće pomoći proračunskim korisnicima iz proračuna koji im nije nadležan </w:t>
      </w:r>
      <w:r w:rsidR="006C1DBB">
        <w:t xml:space="preserve">veće su za </w:t>
      </w:r>
      <w:r w:rsidR="00BD4953">
        <w:t xml:space="preserve">12 </w:t>
      </w:r>
      <w:r w:rsidR="006C1DBB">
        <w:t>% u odnosu na 20</w:t>
      </w:r>
      <w:r w:rsidR="00BD4953">
        <w:t>20</w:t>
      </w:r>
      <w:r w:rsidR="006C1DBB">
        <w:t xml:space="preserve">. godinu zbog rasta osnovice </w:t>
      </w:r>
      <w:r w:rsidR="00CF30B6">
        <w:t xml:space="preserve">i </w:t>
      </w:r>
      <w:r w:rsidR="006C1DBB">
        <w:t>za obračun plaća</w:t>
      </w:r>
      <w:r w:rsidR="00CF30B6">
        <w:t>.</w:t>
      </w:r>
    </w:p>
    <w:p w14:paraId="02DDA937" w14:textId="77777777" w:rsidR="00CF30B6" w:rsidRPr="00935D20" w:rsidRDefault="00CF30B6" w:rsidP="00F41AF6"/>
    <w:p w14:paraId="4AA88621" w14:textId="77777777" w:rsidR="0004014A" w:rsidRPr="00935D20" w:rsidRDefault="0004014A" w:rsidP="00F41AF6">
      <w:r w:rsidRPr="00935D20">
        <w:t>Bilješka broj 3</w:t>
      </w:r>
    </w:p>
    <w:p w14:paraId="3E2E8C69" w14:textId="77777777" w:rsidR="0004014A" w:rsidRPr="00935D20" w:rsidRDefault="0004014A" w:rsidP="00F41AF6"/>
    <w:p w14:paraId="1ACD6B9E" w14:textId="7C95EFAD" w:rsidR="0004014A" w:rsidRPr="00935D20" w:rsidRDefault="00845D88" w:rsidP="00F41AF6">
      <w:r w:rsidRPr="00935D20">
        <w:t xml:space="preserve">AOP </w:t>
      </w:r>
      <w:r w:rsidR="000D1B1A">
        <w:t>06</w:t>
      </w:r>
      <w:r w:rsidR="006C1DBB">
        <w:t xml:space="preserve">5 Kapitalne pomoći iz nenadležnog proračuna također bilježi </w:t>
      </w:r>
      <w:r w:rsidR="00CF30B6">
        <w:t xml:space="preserve">pad za </w:t>
      </w:r>
      <w:r w:rsidR="00BD4953">
        <w:t>61,60</w:t>
      </w:r>
      <w:r w:rsidR="00CF30B6">
        <w:t xml:space="preserve">% </w:t>
      </w:r>
      <w:r w:rsidR="00BD4953">
        <w:t xml:space="preserve">zbog nabave udžbenika koja je u 2021. godini bila manja jer su se nabavljali novi udžbenici samo za 8. razrede dok se za sve ostale razrede nabavljala razlika </w:t>
      </w:r>
      <w:r w:rsidR="00E7016F">
        <w:t>udžbenika zbog eventualno većeg broja učenika u odnosu na prošlu školsku godinu i zbog uništenih udžbenika .</w:t>
      </w:r>
    </w:p>
    <w:p w14:paraId="55A64D36" w14:textId="77777777" w:rsidR="009D4F2E" w:rsidRDefault="009D4F2E" w:rsidP="00337AEB">
      <w:pPr>
        <w:rPr>
          <w:rStyle w:val="Istaknuto"/>
          <w:i w:val="0"/>
        </w:rPr>
      </w:pPr>
    </w:p>
    <w:p w14:paraId="67ECEF06" w14:textId="77777777" w:rsidR="0004014A" w:rsidRPr="00935D20" w:rsidRDefault="0004014A" w:rsidP="00337AEB">
      <w:pPr>
        <w:rPr>
          <w:rStyle w:val="Istaknuto"/>
          <w:i w:val="0"/>
        </w:rPr>
      </w:pPr>
      <w:r w:rsidRPr="00935D20">
        <w:rPr>
          <w:rStyle w:val="Istaknuto"/>
          <w:i w:val="0"/>
        </w:rPr>
        <w:t>Bilješka broj 4</w:t>
      </w:r>
    </w:p>
    <w:p w14:paraId="079AB44A" w14:textId="77777777" w:rsidR="0004014A" w:rsidRPr="00935D20" w:rsidRDefault="0004014A" w:rsidP="00337AEB"/>
    <w:p w14:paraId="55033F11" w14:textId="282B8716" w:rsidR="000D1B1A" w:rsidRPr="00935D20" w:rsidRDefault="00536D69" w:rsidP="000D1B1A">
      <w:r>
        <w:t xml:space="preserve">AOP </w:t>
      </w:r>
      <w:r w:rsidR="00E7016F">
        <w:t>073 Tekući prijenosi između proračunskih korisnika istog proračuna veći su za 35,7% u odnosu na 2020. godinu zbog većih prihoda za školsku shemu voća i mlijeka.</w:t>
      </w:r>
    </w:p>
    <w:p w14:paraId="78975440" w14:textId="77777777" w:rsidR="0004014A" w:rsidRPr="00935D20" w:rsidRDefault="0004014A" w:rsidP="00337AEB"/>
    <w:p w14:paraId="60881CB9" w14:textId="77777777" w:rsidR="0004014A" w:rsidRPr="00935D20" w:rsidRDefault="0004014A" w:rsidP="00C76472">
      <w:pPr>
        <w:rPr>
          <w:rStyle w:val="Istaknuto"/>
          <w:i w:val="0"/>
        </w:rPr>
      </w:pPr>
      <w:r w:rsidRPr="00935D20">
        <w:rPr>
          <w:rStyle w:val="Istaknuto"/>
          <w:i w:val="0"/>
        </w:rPr>
        <w:t>Bilješka broj 5</w:t>
      </w:r>
    </w:p>
    <w:p w14:paraId="60C2E09D" w14:textId="77777777" w:rsidR="0004014A" w:rsidRPr="00935D20" w:rsidRDefault="0004014A" w:rsidP="00337AEB"/>
    <w:p w14:paraId="2F2FC718" w14:textId="7F333216" w:rsidR="0004014A" w:rsidRPr="00935D20" w:rsidRDefault="00536D69" w:rsidP="00F41AF6">
      <w:r w:rsidRPr="00935D20">
        <w:t xml:space="preserve">AOP </w:t>
      </w:r>
      <w:r w:rsidR="00E7016F">
        <w:t>075 Tekući prijenosi između proračunskih korisnika istog proračuna temeljem prijenosa EU sredstava bilježi pad za 6,3% u odnosu na 2020. godinu, a radi se o prihodima za financiranje plaća pomoćnika u nastavi.</w:t>
      </w:r>
    </w:p>
    <w:p w14:paraId="56F5B850" w14:textId="77777777" w:rsidR="0004014A" w:rsidRPr="00935D20" w:rsidRDefault="0004014A" w:rsidP="00F41AF6"/>
    <w:p w14:paraId="2BACB1AD" w14:textId="77777777" w:rsidR="0004014A" w:rsidRPr="00935D20" w:rsidRDefault="0004014A" w:rsidP="00F41AF6">
      <w:pPr>
        <w:rPr>
          <w:rStyle w:val="Istaknuto"/>
          <w:i w:val="0"/>
        </w:rPr>
      </w:pPr>
      <w:r w:rsidRPr="00935D20">
        <w:rPr>
          <w:rStyle w:val="Istaknuto"/>
          <w:i w:val="0"/>
        </w:rPr>
        <w:t>Bilješka broj 6</w:t>
      </w:r>
    </w:p>
    <w:p w14:paraId="1B2900CF" w14:textId="77777777" w:rsidR="0004014A" w:rsidRPr="00935D20" w:rsidRDefault="0004014A" w:rsidP="00F41AF6"/>
    <w:p w14:paraId="0F10B934" w14:textId="5F0DFA1A" w:rsidR="00BC6F06" w:rsidRPr="00935D20" w:rsidRDefault="00704036" w:rsidP="00F41AF6">
      <w:r>
        <w:t xml:space="preserve">AOP </w:t>
      </w:r>
      <w:r w:rsidR="00E7016F">
        <w:t>112 Ostali nespomenuti prihodi veći su za 2,7% zbog većih prihoda za školsku kuhinju. U 2020. godini dio nastave odvijao se online pa za to razdoblje nisu ostvareni prihodi.</w:t>
      </w:r>
    </w:p>
    <w:p w14:paraId="0F9DB59E" w14:textId="77777777" w:rsidR="0004014A" w:rsidRPr="00935D20" w:rsidRDefault="0004014A" w:rsidP="00F41AF6"/>
    <w:p w14:paraId="304D2AF1" w14:textId="77777777" w:rsidR="0004014A" w:rsidRPr="00935D20" w:rsidRDefault="0004014A" w:rsidP="00F41AF6">
      <w:pPr>
        <w:rPr>
          <w:rStyle w:val="Istaknuto"/>
          <w:i w:val="0"/>
        </w:rPr>
      </w:pPr>
      <w:r w:rsidRPr="00935D20">
        <w:rPr>
          <w:rStyle w:val="Istaknuto"/>
          <w:i w:val="0"/>
        </w:rPr>
        <w:t>Bilješka broj 7</w:t>
      </w:r>
    </w:p>
    <w:p w14:paraId="1B753067" w14:textId="77777777" w:rsidR="0004014A" w:rsidRPr="00935D20" w:rsidRDefault="0004014A" w:rsidP="00F41AF6"/>
    <w:p w14:paraId="79CE9284" w14:textId="1DDD04BA" w:rsidR="00FF5C90" w:rsidRDefault="00043150" w:rsidP="00FF5C90">
      <w:r>
        <w:t xml:space="preserve">AOP </w:t>
      </w:r>
      <w:r w:rsidR="00E7016F">
        <w:t>125 Kapitalne donacije bilježe pad za 90%. U obje godine radi se o donaciji knjiga za školsku knjižnicu.</w:t>
      </w:r>
    </w:p>
    <w:p w14:paraId="430B2278" w14:textId="1D3639B3" w:rsidR="00BD7887" w:rsidRDefault="00BD7887" w:rsidP="00FF5C90"/>
    <w:p w14:paraId="44505547" w14:textId="2F1BFCFD" w:rsidR="00BD7887" w:rsidRDefault="00BD7887" w:rsidP="00FF5C90">
      <w:r>
        <w:t>Bilješka broj 8</w:t>
      </w:r>
    </w:p>
    <w:p w14:paraId="5FC545DB" w14:textId="2E15DB7F" w:rsidR="00BD7887" w:rsidRDefault="00BD7887" w:rsidP="00FF5C90"/>
    <w:p w14:paraId="1792510F" w14:textId="1E647710" w:rsidR="00BD7887" w:rsidRDefault="00BD7887" w:rsidP="00FF5C90">
      <w:r>
        <w:t>AOP 130 Prihodi iz nadležnog proračuna za financiranje rashoda poslovanja bilježe rast za 34,6%. Ostvaren je veći prihod zbog pokrića metodološkog manjka i zbog većih troškova prijevoza učenika.</w:t>
      </w:r>
    </w:p>
    <w:p w14:paraId="0F38684C" w14:textId="72E9D6D2" w:rsidR="00BD7887" w:rsidRDefault="00BD7887" w:rsidP="00FF5C90"/>
    <w:p w14:paraId="0FE3214A" w14:textId="2DE2FDF6" w:rsidR="00B61F02" w:rsidRDefault="00B61F02" w:rsidP="00FF5C90">
      <w:r>
        <w:t xml:space="preserve">Bilješka broj 9 </w:t>
      </w:r>
    </w:p>
    <w:p w14:paraId="7835884D" w14:textId="77777777" w:rsidR="00B61F02" w:rsidRDefault="00B61F02" w:rsidP="00FF5C90"/>
    <w:p w14:paraId="37EFCDC9" w14:textId="03DDE6BF" w:rsidR="00BD7887" w:rsidRPr="00935D20" w:rsidRDefault="00BD7887" w:rsidP="00FF5C90">
      <w:r>
        <w:t xml:space="preserve">AOP 131 Prihodi iz nadležnog proračuna za financiranje rashoda za nabavu nefinancijske imovine bilježe rast za 59,4% također zbog pokrića metodološkog manjka iz 2020. godine. Osim toga ostvareni su prihodi za opremanje </w:t>
      </w:r>
      <w:r w:rsidR="00B61F02">
        <w:t>nove školske kuhinje u područnoj školi, uređenje okoliša škole, nabavu školskog namještaja za učionicu tehničke kulture i kabinet kemije i biologije, vanjski video nadzor  i motorne kosilice.</w:t>
      </w:r>
    </w:p>
    <w:p w14:paraId="04D7CD84" w14:textId="77777777" w:rsidR="00BC6F06" w:rsidRDefault="00BC6F06" w:rsidP="00F41AF6">
      <w:pPr>
        <w:rPr>
          <w:rStyle w:val="Istaknuto"/>
          <w:i w:val="0"/>
        </w:rPr>
      </w:pPr>
    </w:p>
    <w:p w14:paraId="54181A4B" w14:textId="38BAEC2E" w:rsidR="00E83BE3" w:rsidRDefault="00E83BE3" w:rsidP="00F41AF6"/>
    <w:p w14:paraId="76038470" w14:textId="77777777" w:rsidR="00B61F02" w:rsidRDefault="00B61F02" w:rsidP="00F41AF6"/>
    <w:p w14:paraId="3BB584BD" w14:textId="77777777" w:rsidR="00E83BE3" w:rsidRPr="00E83BE3" w:rsidRDefault="00E83BE3" w:rsidP="00F41AF6">
      <w:pPr>
        <w:rPr>
          <w:b/>
          <w:bCs/>
          <w:u w:val="single"/>
        </w:rPr>
      </w:pPr>
      <w:r w:rsidRPr="00E83BE3">
        <w:rPr>
          <w:b/>
          <w:bCs/>
          <w:u w:val="single"/>
        </w:rPr>
        <w:lastRenderedPageBreak/>
        <w:t>RASHODI</w:t>
      </w:r>
    </w:p>
    <w:p w14:paraId="3DB22A2A" w14:textId="77777777" w:rsidR="008A0464" w:rsidRDefault="008A0464" w:rsidP="00F41AF6"/>
    <w:p w14:paraId="77086F7C" w14:textId="2D92E2F0" w:rsidR="008A0464" w:rsidRDefault="008A0464" w:rsidP="00F41AF6">
      <w:r>
        <w:t xml:space="preserve">Bilješka broj </w:t>
      </w:r>
      <w:r w:rsidR="00B61F02">
        <w:t>10</w:t>
      </w:r>
    </w:p>
    <w:p w14:paraId="19A9ED46" w14:textId="77777777" w:rsidR="008A0464" w:rsidRDefault="008A0464" w:rsidP="00F41AF6"/>
    <w:p w14:paraId="27004869" w14:textId="7914B0FE" w:rsidR="008A0464" w:rsidRDefault="008A0464" w:rsidP="00F41AF6">
      <w:r>
        <w:t xml:space="preserve">AOP </w:t>
      </w:r>
      <w:r w:rsidR="00F711DE">
        <w:t xml:space="preserve">149 Rashodi za zaposlene bilježe rast za </w:t>
      </w:r>
      <w:r w:rsidR="00B61F02">
        <w:t>11,7</w:t>
      </w:r>
      <w:r w:rsidR="00F711DE">
        <w:t>% zbog rasta osnovice za obračun plaća zaposlenika škole</w:t>
      </w:r>
      <w:r w:rsidR="00223698">
        <w:t xml:space="preserve"> i isplata po sudskim presudama</w:t>
      </w:r>
      <w:r w:rsidR="00B61F02">
        <w:t>.</w:t>
      </w:r>
      <w:r w:rsidR="00223698">
        <w:t xml:space="preserve"> Iz istog razloga imamo povećanje na AOP 156 i 157.</w:t>
      </w:r>
    </w:p>
    <w:p w14:paraId="50E69D8A" w14:textId="77777777" w:rsidR="007A47EE" w:rsidRDefault="007A47EE" w:rsidP="00F41AF6"/>
    <w:p w14:paraId="3A369638" w14:textId="6A40DF5C" w:rsidR="007A47EE" w:rsidRDefault="007A47EE" w:rsidP="00F41AF6">
      <w:r>
        <w:t xml:space="preserve">Bilješka broj </w:t>
      </w:r>
      <w:r w:rsidR="00B61F02">
        <w:t>11</w:t>
      </w:r>
    </w:p>
    <w:p w14:paraId="5B2DA913" w14:textId="77777777" w:rsidR="007A47EE" w:rsidRDefault="007A47EE" w:rsidP="00F41AF6"/>
    <w:p w14:paraId="01BC29BA" w14:textId="69217978" w:rsidR="007A47EE" w:rsidRDefault="007A47EE" w:rsidP="00F41AF6">
      <w:r>
        <w:t xml:space="preserve">AOP </w:t>
      </w:r>
      <w:r w:rsidR="00F711DE">
        <w:t>16</w:t>
      </w:r>
      <w:r w:rsidR="00B61F02">
        <w:t>0</w:t>
      </w:r>
      <w:r w:rsidR="00F711DE">
        <w:t xml:space="preserve"> Službena putovanja bilježi </w:t>
      </w:r>
      <w:r w:rsidR="00B61F02">
        <w:t>rast</w:t>
      </w:r>
      <w:r w:rsidR="00F711DE">
        <w:t xml:space="preserve"> za </w:t>
      </w:r>
      <w:r w:rsidR="00B61F02">
        <w:t>289,3%</w:t>
      </w:r>
      <w:r w:rsidR="00F711DE">
        <w:t xml:space="preserve"> iz razloga što su veći dio 2020. godine skupovi i službena putovanja bili zabranjeni </w:t>
      </w:r>
      <w:r w:rsidR="00B61F02">
        <w:t>O</w:t>
      </w:r>
      <w:r w:rsidR="00F711DE">
        <w:t>dlukom stožera civilne zaštite zbog pandemije COVID-19.</w:t>
      </w:r>
    </w:p>
    <w:p w14:paraId="2A9986A9" w14:textId="77777777" w:rsidR="006E0452" w:rsidRDefault="006E0452" w:rsidP="00F41AF6"/>
    <w:p w14:paraId="5ECFBCD0" w14:textId="1776B1D8" w:rsidR="006E0452" w:rsidRDefault="006E0452" w:rsidP="00F41AF6">
      <w:r>
        <w:t xml:space="preserve">Bilješka broj </w:t>
      </w:r>
      <w:r w:rsidR="00F711DE">
        <w:t>1</w:t>
      </w:r>
      <w:r w:rsidR="00B61F02">
        <w:t>2</w:t>
      </w:r>
    </w:p>
    <w:p w14:paraId="628B69FA" w14:textId="77777777" w:rsidR="006E0452" w:rsidRDefault="006E0452" w:rsidP="00F41AF6"/>
    <w:p w14:paraId="196D83AC" w14:textId="78689D87" w:rsidR="006E0452" w:rsidRDefault="006E0452" w:rsidP="00F41AF6">
      <w:r>
        <w:t xml:space="preserve">AOP </w:t>
      </w:r>
      <w:r w:rsidR="00F711DE">
        <w:t>16</w:t>
      </w:r>
      <w:r w:rsidR="00B61F02">
        <w:t>1</w:t>
      </w:r>
      <w:r w:rsidR="00F711DE">
        <w:t xml:space="preserve"> Naknade za prijevoz za rad na terenu i odvojeni život bilježi </w:t>
      </w:r>
      <w:r w:rsidR="00B61F02">
        <w:t>rast</w:t>
      </w:r>
      <w:r w:rsidR="00F711DE">
        <w:t xml:space="preserve"> za </w:t>
      </w:r>
      <w:r w:rsidR="00B61F02">
        <w:t>29</w:t>
      </w:r>
      <w:r w:rsidR="00F711DE">
        <w:t xml:space="preserve">,6% </w:t>
      </w:r>
      <w:r w:rsidR="00B61F02">
        <w:t xml:space="preserve">jer </w:t>
      </w:r>
      <w:r w:rsidR="00F711DE">
        <w:t xml:space="preserve">se </w:t>
      </w:r>
      <w:r w:rsidR="00B61F02">
        <w:t xml:space="preserve">u 2020. godini </w:t>
      </w:r>
      <w:r w:rsidR="00F711DE">
        <w:t>dio nastava odvija</w:t>
      </w:r>
      <w:r w:rsidR="00B61F02">
        <w:t>o</w:t>
      </w:r>
      <w:r w:rsidR="00F711DE">
        <w:t xml:space="preserve"> na daljinu i </w:t>
      </w:r>
      <w:r w:rsidR="008D566A">
        <w:t>zaposlenicima se</w:t>
      </w:r>
      <w:r w:rsidR="00B61F02">
        <w:t xml:space="preserve"> za to vrijeme</w:t>
      </w:r>
      <w:r w:rsidR="008D566A">
        <w:t xml:space="preserve"> </w:t>
      </w:r>
      <w:r w:rsidR="00F711DE">
        <w:t>nisu plaćali pu</w:t>
      </w:r>
      <w:r w:rsidR="008D566A">
        <w:t>tni troškovi.</w:t>
      </w:r>
      <w:r w:rsidR="00B61F02">
        <w:t xml:space="preserve"> </w:t>
      </w:r>
    </w:p>
    <w:p w14:paraId="19612DE3" w14:textId="77777777" w:rsidR="006E0452" w:rsidRDefault="006E0452" w:rsidP="00F41AF6"/>
    <w:p w14:paraId="402A0D1F" w14:textId="4E10D565" w:rsidR="006E0452" w:rsidRDefault="006E0452" w:rsidP="00F41AF6">
      <w:r>
        <w:t>Bilješka broj 1</w:t>
      </w:r>
      <w:r w:rsidR="00B61F02">
        <w:t>3</w:t>
      </w:r>
    </w:p>
    <w:p w14:paraId="284625D2" w14:textId="77777777" w:rsidR="006E0452" w:rsidRDefault="006E0452" w:rsidP="00F41AF6"/>
    <w:p w14:paraId="2625AEAD" w14:textId="5121152A" w:rsidR="006E0452" w:rsidRPr="00935D20" w:rsidRDefault="006E0452" w:rsidP="00F41AF6">
      <w:r>
        <w:t xml:space="preserve">AOP </w:t>
      </w:r>
      <w:r w:rsidR="008D566A">
        <w:t>16</w:t>
      </w:r>
      <w:r w:rsidR="00B61F02">
        <w:t>2</w:t>
      </w:r>
      <w:r w:rsidR="008D566A">
        <w:t xml:space="preserve"> </w:t>
      </w:r>
      <w:r w:rsidR="00B61F02">
        <w:t>Stručno usavršavanje zaposlenika</w:t>
      </w:r>
      <w:r w:rsidR="00F53C1F">
        <w:t xml:space="preserve"> bilježi rast za 108%. Razlog je također pandemija zbog koje je stručno usavršavanje u 2020. godini bilo ograničeno. Iako ni u 2021. godini nisu ostvarena službena putovanja i usavršavanja u istoj mjeri kao prije pandemije, zaposlenicima su omogućeni online seminari i stručni skupovi.</w:t>
      </w:r>
      <w:r w:rsidR="008D566A">
        <w:t xml:space="preserve"> </w:t>
      </w:r>
    </w:p>
    <w:p w14:paraId="0EAADDF8" w14:textId="77777777" w:rsidR="0004014A" w:rsidRPr="00935D20" w:rsidRDefault="0004014A" w:rsidP="00F41AF6"/>
    <w:p w14:paraId="4C1232A2" w14:textId="0AB72671" w:rsidR="0004014A" w:rsidRDefault="006E0452" w:rsidP="00F41AF6">
      <w:r>
        <w:t>Bilješka broj 1</w:t>
      </w:r>
      <w:r w:rsidR="00F53C1F">
        <w:t>4</w:t>
      </w:r>
    </w:p>
    <w:p w14:paraId="712D4BE3" w14:textId="77777777" w:rsidR="006E0452" w:rsidRDefault="006E0452" w:rsidP="00F41AF6"/>
    <w:p w14:paraId="71C537E7" w14:textId="2AB4C215" w:rsidR="00BC6F06" w:rsidRDefault="006E0452" w:rsidP="00F41AF6">
      <w:r>
        <w:t xml:space="preserve">AOP </w:t>
      </w:r>
      <w:r w:rsidR="008D566A">
        <w:t>16</w:t>
      </w:r>
      <w:r w:rsidR="00F53C1F">
        <w:t>5</w:t>
      </w:r>
      <w:r w:rsidR="008D566A">
        <w:t xml:space="preserve"> Uredski materijal i ostali materijalni rashodi bilježe </w:t>
      </w:r>
      <w:r w:rsidR="00F53C1F">
        <w:t>pad</w:t>
      </w:r>
      <w:r w:rsidR="008D566A">
        <w:t xml:space="preserve"> za </w:t>
      </w:r>
      <w:r w:rsidR="00F53C1F">
        <w:t>9</w:t>
      </w:r>
      <w:r w:rsidR="008D566A">
        <w:t>,9%</w:t>
      </w:r>
      <w:r w:rsidR="00F53C1F">
        <w:t xml:space="preserve"> zbog manje potrebe za nabavom higijenskog materijala i stručne literature.</w:t>
      </w:r>
    </w:p>
    <w:p w14:paraId="35FE7D3F" w14:textId="77777777" w:rsidR="00BC6F06" w:rsidRDefault="00BC6F06" w:rsidP="00F41AF6"/>
    <w:p w14:paraId="7F17BC1D" w14:textId="03C19DE4" w:rsidR="0096622C" w:rsidRDefault="0096622C" w:rsidP="00F41AF6">
      <w:r>
        <w:t>Bilješka broj 1</w:t>
      </w:r>
      <w:r w:rsidR="00F53C1F">
        <w:t>5</w:t>
      </w:r>
    </w:p>
    <w:p w14:paraId="4C98A9C2" w14:textId="77777777" w:rsidR="0096622C" w:rsidRDefault="0096622C" w:rsidP="00F41AF6"/>
    <w:p w14:paraId="17B54FD2" w14:textId="5B9A0456" w:rsidR="006E0452" w:rsidRDefault="0096622C" w:rsidP="00F41AF6">
      <w:r>
        <w:t xml:space="preserve">AOP </w:t>
      </w:r>
      <w:r w:rsidR="00F53C1F">
        <w:t>166 Materijal i sirovine veći su za 21,4 % jer nije bilo online nastave kao u 2020</w:t>
      </w:r>
      <w:r w:rsidR="008D566A">
        <w:t>.</w:t>
      </w:r>
      <w:r w:rsidR="00F53C1F">
        <w:t xml:space="preserve"> godini pa smo imali veće rashode za nabavu namirnica za školsku kuhinju.</w:t>
      </w:r>
    </w:p>
    <w:p w14:paraId="21C3E4B0" w14:textId="77777777" w:rsidR="001D05B1" w:rsidRDefault="001D05B1" w:rsidP="00F41AF6"/>
    <w:p w14:paraId="7328ECA8" w14:textId="6718AD98" w:rsidR="001D05B1" w:rsidRDefault="001D05B1" w:rsidP="00F41AF6">
      <w:r>
        <w:t>Bilješka broj 1</w:t>
      </w:r>
      <w:r w:rsidR="00F53C1F">
        <w:t>6</w:t>
      </w:r>
    </w:p>
    <w:p w14:paraId="040BD621" w14:textId="77777777" w:rsidR="001D05B1" w:rsidRDefault="001D05B1" w:rsidP="00F41AF6"/>
    <w:p w14:paraId="26007EDE" w14:textId="690D2C6F" w:rsidR="001D05B1" w:rsidRDefault="001D05B1" w:rsidP="008D566A">
      <w:r>
        <w:t xml:space="preserve">AOP </w:t>
      </w:r>
      <w:r w:rsidR="00F53C1F">
        <w:t>167</w:t>
      </w:r>
      <w:r w:rsidR="003C19A3">
        <w:t xml:space="preserve"> Energija bilježi rast za 9,9% jer smo imali veće troškove električne energije zbog izgradnje nove dvorane.</w:t>
      </w:r>
    </w:p>
    <w:p w14:paraId="391CEE98" w14:textId="77777777" w:rsidR="00852490" w:rsidRDefault="00852490" w:rsidP="008D566A"/>
    <w:p w14:paraId="4A87D413" w14:textId="6390B50A" w:rsidR="00852490" w:rsidRDefault="00852490" w:rsidP="00852490">
      <w:r>
        <w:t>Bilješka broj 1</w:t>
      </w:r>
      <w:r w:rsidR="003C19A3">
        <w:t>7</w:t>
      </w:r>
    </w:p>
    <w:p w14:paraId="7C0FC610" w14:textId="77777777" w:rsidR="001D05B1" w:rsidRDefault="001D05B1" w:rsidP="00F41AF6"/>
    <w:p w14:paraId="042E5598" w14:textId="471E7F6D" w:rsidR="001D05B1" w:rsidRDefault="001D05B1" w:rsidP="00F41AF6">
      <w:r>
        <w:t xml:space="preserve">AOP </w:t>
      </w:r>
      <w:r w:rsidR="003C19A3">
        <w:t>168 Materijal i dijelovi za tekuće i investicijsko održavanje bilježi pad za 36,6% zbog manjih potreba za nabavom istih.</w:t>
      </w:r>
    </w:p>
    <w:p w14:paraId="780B403A" w14:textId="62ABE3C9" w:rsidR="006B2C3C" w:rsidRDefault="006B2C3C" w:rsidP="00F41AF6"/>
    <w:p w14:paraId="774E7374" w14:textId="17B01664" w:rsidR="006B2C3C" w:rsidRDefault="006B2C3C" w:rsidP="00F41AF6"/>
    <w:p w14:paraId="5957A782" w14:textId="77777777" w:rsidR="006B2C3C" w:rsidRDefault="006B2C3C" w:rsidP="00F41AF6"/>
    <w:p w14:paraId="00964C6A" w14:textId="77777777" w:rsidR="001D05B1" w:rsidRDefault="001D05B1" w:rsidP="00F41AF6"/>
    <w:p w14:paraId="20FE27B8" w14:textId="152B5935" w:rsidR="001D05B1" w:rsidRDefault="001D05B1" w:rsidP="00F41AF6">
      <w:r>
        <w:lastRenderedPageBreak/>
        <w:t>Bilješka broj 1</w:t>
      </w:r>
      <w:r w:rsidR="003C19A3">
        <w:t>8</w:t>
      </w:r>
    </w:p>
    <w:p w14:paraId="514693F0" w14:textId="77777777" w:rsidR="001D05B1" w:rsidRDefault="001D05B1" w:rsidP="00F41AF6"/>
    <w:p w14:paraId="1BA63837" w14:textId="747A17C9" w:rsidR="001D05B1" w:rsidRDefault="001D05B1" w:rsidP="00F41AF6">
      <w:r>
        <w:t xml:space="preserve">AOP </w:t>
      </w:r>
      <w:r w:rsidR="003C19A3">
        <w:t xml:space="preserve">169 Sitni inventar bilježi pad za 58% u odnosu na 2020. godinu jer smo u 2020. godini imali veće nabave sitnog inventara za školsku kuhinju. </w:t>
      </w:r>
    </w:p>
    <w:p w14:paraId="52C765DA" w14:textId="77777777" w:rsidR="001D05B1" w:rsidRDefault="001D05B1" w:rsidP="00F41AF6"/>
    <w:p w14:paraId="469B4E29" w14:textId="212AC348" w:rsidR="001D05B1" w:rsidRDefault="001D05B1" w:rsidP="00F41AF6">
      <w:r>
        <w:t xml:space="preserve">Bilješka broj </w:t>
      </w:r>
      <w:r w:rsidR="00852490">
        <w:t>1</w:t>
      </w:r>
      <w:r w:rsidR="003C19A3">
        <w:t>9</w:t>
      </w:r>
    </w:p>
    <w:p w14:paraId="4F125F4C" w14:textId="77777777" w:rsidR="001D05B1" w:rsidRDefault="001D05B1" w:rsidP="00F41AF6"/>
    <w:p w14:paraId="0EDECFBD" w14:textId="69D8720C" w:rsidR="001D05B1" w:rsidRDefault="005B1F51" w:rsidP="00F41AF6">
      <w:r>
        <w:t xml:space="preserve">AOP </w:t>
      </w:r>
      <w:r w:rsidR="00852490">
        <w:t>17</w:t>
      </w:r>
      <w:r w:rsidR="003C19A3">
        <w:t>3 prikazuje veće rashode za prijevoz učenika u odnosu na 2020. godinu i to za 14%, a razlog je već spomenuta online nastava u 2020. godini.</w:t>
      </w:r>
    </w:p>
    <w:p w14:paraId="14D43312" w14:textId="77777777" w:rsidR="006E0452" w:rsidRPr="00935D20" w:rsidRDefault="006E0452" w:rsidP="00F41AF6"/>
    <w:p w14:paraId="2BB7EFDD" w14:textId="4107C857" w:rsidR="0004014A" w:rsidRDefault="00EB56FB" w:rsidP="00F41AF6">
      <w:pPr>
        <w:rPr>
          <w:rStyle w:val="Istaknuto"/>
          <w:i w:val="0"/>
        </w:rPr>
      </w:pPr>
      <w:r w:rsidRPr="00935D20">
        <w:rPr>
          <w:rStyle w:val="Istaknuto"/>
          <w:i w:val="0"/>
        </w:rPr>
        <w:t xml:space="preserve">Bilješka broj </w:t>
      </w:r>
      <w:r w:rsidR="003C19A3">
        <w:rPr>
          <w:rStyle w:val="Istaknuto"/>
          <w:i w:val="0"/>
        </w:rPr>
        <w:t>20</w:t>
      </w:r>
    </w:p>
    <w:p w14:paraId="35425CAF" w14:textId="4DEA7DEA" w:rsidR="005452BA" w:rsidRDefault="005452BA" w:rsidP="00F41AF6">
      <w:pPr>
        <w:rPr>
          <w:rStyle w:val="Istaknuto"/>
          <w:i w:val="0"/>
        </w:rPr>
      </w:pPr>
    </w:p>
    <w:p w14:paraId="37ED59C4" w14:textId="11744551" w:rsidR="005452BA" w:rsidRDefault="005452BA" w:rsidP="00F41AF6">
      <w:pPr>
        <w:rPr>
          <w:rStyle w:val="Istaknuto"/>
          <w:i w:val="0"/>
        </w:rPr>
      </w:pPr>
      <w:r>
        <w:rPr>
          <w:rStyle w:val="Istaknuto"/>
          <w:i w:val="0"/>
        </w:rPr>
        <w:t xml:space="preserve">AOP </w:t>
      </w:r>
      <w:r w:rsidR="003C19A3">
        <w:rPr>
          <w:rStyle w:val="Istaknuto"/>
          <w:i w:val="0"/>
        </w:rPr>
        <w:t xml:space="preserve">174 Usluge tekućeg i investicijskog održavanja bilježe pad za 50,9%. </w:t>
      </w:r>
      <w:r w:rsidR="00A543E0">
        <w:rPr>
          <w:rStyle w:val="Istaknuto"/>
          <w:i w:val="0"/>
        </w:rPr>
        <w:t>u 2021. godini imali smo rashode za redovne servise, popravke, brušenje i lakiranje parketa u kabinetima, zamjene roloa u kabinetima, priključak na novu vodovodnu mrežu, zamjenu vrata na kabinetima i učionicama te soboslikarske radove. U 2020. godini imali smo veće rashode zbog uređenja školske kuhinje u područnoj školi.</w:t>
      </w:r>
    </w:p>
    <w:p w14:paraId="0E6633EE" w14:textId="01E2DFFF" w:rsidR="005452BA" w:rsidRDefault="005452BA" w:rsidP="00F41AF6">
      <w:pPr>
        <w:rPr>
          <w:rStyle w:val="Istaknuto"/>
          <w:i w:val="0"/>
        </w:rPr>
      </w:pPr>
    </w:p>
    <w:p w14:paraId="77B7E564" w14:textId="61020334" w:rsidR="005452BA" w:rsidRDefault="005452BA" w:rsidP="00F41AF6">
      <w:pPr>
        <w:rPr>
          <w:rStyle w:val="Istaknuto"/>
          <w:i w:val="0"/>
        </w:rPr>
      </w:pPr>
      <w:r>
        <w:rPr>
          <w:rStyle w:val="Istaknuto"/>
          <w:i w:val="0"/>
        </w:rPr>
        <w:t xml:space="preserve">Bilješka broj </w:t>
      </w:r>
      <w:r w:rsidR="00A543E0">
        <w:rPr>
          <w:rStyle w:val="Istaknuto"/>
          <w:i w:val="0"/>
        </w:rPr>
        <w:t>21</w:t>
      </w:r>
    </w:p>
    <w:p w14:paraId="4A79BF36" w14:textId="60251B51" w:rsidR="003A5D4E" w:rsidRDefault="003A5D4E" w:rsidP="00F41AF6">
      <w:pPr>
        <w:rPr>
          <w:rStyle w:val="Istaknuto"/>
          <w:i w:val="0"/>
        </w:rPr>
      </w:pPr>
    </w:p>
    <w:p w14:paraId="0A95CD05" w14:textId="086F44D7" w:rsidR="005452BA" w:rsidRDefault="005452BA" w:rsidP="00F41AF6">
      <w:pPr>
        <w:rPr>
          <w:rStyle w:val="Istaknuto"/>
          <w:i w:val="0"/>
        </w:rPr>
      </w:pPr>
      <w:r>
        <w:rPr>
          <w:rStyle w:val="Istaknuto"/>
          <w:i w:val="0"/>
        </w:rPr>
        <w:t xml:space="preserve">AOP </w:t>
      </w:r>
      <w:r w:rsidR="00A543E0">
        <w:rPr>
          <w:rStyle w:val="Istaknuto"/>
          <w:i w:val="0"/>
        </w:rPr>
        <w:t>177 Zakupnine i najamnine veće su za 36,9% u odnosu na 2020. godinu. Odnose se na najam fotokopirnih uređaja koji se plaća po broju kopija</w:t>
      </w:r>
      <w:r w:rsidR="005151E3">
        <w:rPr>
          <w:rStyle w:val="Istaknuto"/>
          <w:i w:val="0"/>
        </w:rPr>
        <w:t xml:space="preserve"> pa su troškovi bili manji u 2020. godini zbog online nastave i rada od kuće.</w:t>
      </w:r>
    </w:p>
    <w:p w14:paraId="7CDA763A" w14:textId="63F67918" w:rsidR="005452BA" w:rsidRDefault="005452BA" w:rsidP="00F41AF6">
      <w:pPr>
        <w:rPr>
          <w:rStyle w:val="Istaknuto"/>
          <w:i w:val="0"/>
        </w:rPr>
      </w:pPr>
    </w:p>
    <w:p w14:paraId="01906876" w14:textId="24A7D728" w:rsidR="005452BA" w:rsidRDefault="005452BA" w:rsidP="00F41AF6">
      <w:pPr>
        <w:rPr>
          <w:rStyle w:val="Istaknuto"/>
          <w:i w:val="0"/>
        </w:rPr>
      </w:pPr>
      <w:r>
        <w:rPr>
          <w:rStyle w:val="Istaknuto"/>
          <w:i w:val="0"/>
        </w:rPr>
        <w:t>Bilješka broj 2</w:t>
      </w:r>
      <w:r w:rsidR="005151E3">
        <w:rPr>
          <w:rStyle w:val="Istaknuto"/>
          <w:i w:val="0"/>
        </w:rPr>
        <w:t>2</w:t>
      </w:r>
    </w:p>
    <w:p w14:paraId="2EB4ABC7" w14:textId="642EC283" w:rsidR="005452BA" w:rsidRDefault="005452BA" w:rsidP="00F41AF6">
      <w:pPr>
        <w:rPr>
          <w:rStyle w:val="Istaknuto"/>
          <w:i w:val="0"/>
        </w:rPr>
      </w:pPr>
    </w:p>
    <w:p w14:paraId="70E917E5" w14:textId="54E79B2B" w:rsidR="005452BA" w:rsidRDefault="005452BA" w:rsidP="00F41AF6">
      <w:pPr>
        <w:rPr>
          <w:rStyle w:val="Istaknuto"/>
          <w:i w:val="0"/>
        </w:rPr>
      </w:pPr>
      <w:r>
        <w:rPr>
          <w:rStyle w:val="Istaknuto"/>
          <w:i w:val="0"/>
        </w:rPr>
        <w:t xml:space="preserve">AOP </w:t>
      </w:r>
      <w:r w:rsidR="005151E3">
        <w:rPr>
          <w:rStyle w:val="Istaknuto"/>
          <w:i w:val="0"/>
        </w:rPr>
        <w:t>181 Ostale usluge bilježe rast za 205,5% u odnosu na 2020. godinu zbog usluga čišćenja dvorane i izrade idejnog rješenja za hidrantsku mrežu.</w:t>
      </w:r>
    </w:p>
    <w:p w14:paraId="09DACDF3" w14:textId="2A1B945B" w:rsidR="005452BA" w:rsidRDefault="005452BA" w:rsidP="00F41AF6">
      <w:pPr>
        <w:rPr>
          <w:rStyle w:val="Istaknuto"/>
          <w:i w:val="0"/>
        </w:rPr>
      </w:pPr>
    </w:p>
    <w:p w14:paraId="7F173FEC" w14:textId="19B5BC1D" w:rsidR="005452BA" w:rsidRDefault="005452BA" w:rsidP="00F41AF6">
      <w:pPr>
        <w:rPr>
          <w:rStyle w:val="Istaknuto"/>
          <w:i w:val="0"/>
        </w:rPr>
      </w:pPr>
      <w:r>
        <w:rPr>
          <w:rStyle w:val="Istaknuto"/>
          <w:i w:val="0"/>
        </w:rPr>
        <w:t>Bilješka broj 2</w:t>
      </w:r>
      <w:r w:rsidR="005151E3">
        <w:rPr>
          <w:rStyle w:val="Istaknuto"/>
          <w:i w:val="0"/>
        </w:rPr>
        <w:t>3</w:t>
      </w:r>
    </w:p>
    <w:p w14:paraId="07EE527E" w14:textId="5CDF67B7" w:rsidR="005452BA" w:rsidRDefault="005452BA" w:rsidP="00F41AF6">
      <w:pPr>
        <w:rPr>
          <w:rStyle w:val="Istaknuto"/>
          <w:i w:val="0"/>
        </w:rPr>
      </w:pPr>
    </w:p>
    <w:p w14:paraId="019ABD50" w14:textId="422D59BA" w:rsidR="005452BA" w:rsidRDefault="005452BA" w:rsidP="00F41AF6">
      <w:pPr>
        <w:rPr>
          <w:rStyle w:val="Istaknuto"/>
          <w:i w:val="0"/>
        </w:rPr>
      </w:pPr>
      <w:r>
        <w:rPr>
          <w:rStyle w:val="Istaknuto"/>
          <w:i w:val="0"/>
        </w:rPr>
        <w:t>AOP 1</w:t>
      </w:r>
      <w:r w:rsidR="005151E3">
        <w:rPr>
          <w:rStyle w:val="Istaknuto"/>
          <w:i w:val="0"/>
        </w:rPr>
        <w:t>86</w:t>
      </w:r>
      <w:r>
        <w:rPr>
          <w:rStyle w:val="Istaknuto"/>
          <w:i w:val="0"/>
        </w:rPr>
        <w:t xml:space="preserve"> </w:t>
      </w:r>
      <w:r w:rsidR="005151E3">
        <w:rPr>
          <w:rStyle w:val="Istaknuto"/>
          <w:i w:val="0"/>
        </w:rPr>
        <w:t>Reprezentacija bilježi veći rast u odnosu na prošlu godinu zbog ublaženih mjera HZJZ-a vezanih za okupljanja te smo imali više prilika za primanje gostiju i suradnika u školi.</w:t>
      </w:r>
    </w:p>
    <w:p w14:paraId="21FB1B27" w14:textId="394D78EA" w:rsidR="00A66226" w:rsidRDefault="00A66226" w:rsidP="00F41AF6">
      <w:pPr>
        <w:rPr>
          <w:rStyle w:val="Istaknuto"/>
          <w:i w:val="0"/>
        </w:rPr>
      </w:pPr>
    </w:p>
    <w:p w14:paraId="6C24895D" w14:textId="5D0F33E8" w:rsidR="00A66226" w:rsidRDefault="00A66226" w:rsidP="00F41AF6">
      <w:pPr>
        <w:rPr>
          <w:rStyle w:val="Istaknuto"/>
          <w:i w:val="0"/>
        </w:rPr>
      </w:pPr>
      <w:r>
        <w:rPr>
          <w:rStyle w:val="Istaknuto"/>
          <w:i w:val="0"/>
        </w:rPr>
        <w:t>Bilješka broj 2</w:t>
      </w:r>
      <w:r w:rsidR="005151E3">
        <w:rPr>
          <w:rStyle w:val="Istaknuto"/>
          <w:i w:val="0"/>
        </w:rPr>
        <w:t>4</w:t>
      </w:r>
    </w:p>
    <w:p w14:paraId="5F6ED9F4" w14:textId="3AAC5416" w:rsidR="00A66226" w:rsidRDefault="00A66226" w:rsidP="00F41AF6">
      <w:pPr>
        <w:rPr>
          <w:rStyle w:val="Istaknuto"/>
          <w:i w:val="0"/>
        </w:rPr>
      </w:pPr>
    </w:p>
    <w:p w14:paraId="46BC452C" w14:textId="1DB60500" w:rsidR="005452BA" w:rsidRDefault="00A66226" w:rsidP="00F41AF6">
      <w:pPr>
        <w:rPr>
          <w:rStyle w:val="Istaknuto"/>
          <w:i w:val="0"/>
        </w:rPr>
      </w:pPr>
      <w:r>
        <w:rPr>
          <w:rStyle w:val="Istaknuto"/>
          <w:i w:val="0"/>
        </w:rPr>
        <w:t xml:space="preserve">AOP </w:t>
      </w:r>
      <w:r w:rsidR="005151E3">
        <w:rPr>
          <w:rStyle w:val="Istaknuto"/>
          <w:i w:val="0"/>
        </w:rPr>
        <w:t>188</w:t>
      </w:r>
      <w:r>
        <w:rPr>
          <w:rStyle w:val="Istaknuto"/>
          <w:i w:val="0"/>
        </w:rPr>
        <w:t xml:space="preserve"> </w:t>
      </w:r>
      <w:r w:rsidR="005151E3">
        <w:rPr>
          <w:rStyle w:val="Istaknuto"/>
          <w:i w:val="0"/>
        </w:rPr>
        <w:t xml:space="preserve">Pristojbe i naknade bilježe rast za 18,9% zbog </w:t>
      </w:r>
      <w:r w:rsidR="00223698">
        <w:rPr>
          <w:rStyle w:val="Istaknuto"/>
          <w:i w:val="0"/>
        </w:rPr>
        <w:t>sudskih pristojbi za tužbe zaposlenika. Iz istog razloga imamo povećanje i na AOP 189 Troškovi sudskih postupaka i AOP 208 Zatezne kamate.</w:t>
      </w:r>
    </w:p>
    <w:p w14:paraId="0C6F1A55" w14:textId="1D51F23E" w:rsidR="00A66226" w:rsidRDefault="00A66226" w:rsidP="00F41AF6">
      <w:pPr>
        <w:rPr>
          <w:rStyle w:val="Istaknuto"/>
          <w:i w:val="0"/>
        </w:rPr>
      </w:pPr>
    </w:p>
    <w:p w14:paraId="6BC6F350" w14:textId="4678197C" w:rsidR="00A66226" w:rsidRDefault="00A66226" w:rsidP="00F41AF6">
      <w:pPr>
        <w:rPr>
          <w:rStyle w:val="Istaknuto"/>
          <w:i w:val="0"/>
        </w:rPr>
      </w:pPr>
      <w:r>
        <w:rPr>
          <w:rStyle w:val="Istaknuto"/>
          <w:i w:val="0"/>
        </w:rPr>
        <w:t>Bilješka broj 2</w:t>
      </w:r>
      <w:r w:rsidR="00223698">
        <w:rPr>
          <w:rStyle w:val="Istaknuto"/>
          <w:i w:val="0"/>
        </w:rPr>
        <w:t>5</w:t>
      </w:r>
    </w:p>
    <w:p w14:paraId="61B89A74" w14:textId="020A3BB2" w:rsidR="00A66226" w:rsidRDefault="00A66226" w:rsidP="00F41AF6">
      <w:pPr>
        <w:rPr>
          <w:rStyle w:val="Istaknuto"/>
          <w:i w:val="0"/>
        </w:rPr>
      </w:pPr>
    </w:p>
    <w:p w14:paraId="5DA0D030" w14:textId="69A34C31" w:rsidR="00A66226" w:rsidRDefault="00A66226" w:rsidP="00F41AF6">
      <w:pPr>
        <w:rPr>
          <w:rStyle w:val="Istaknuto"/>
          <w:i w:val="0"/>
        </w:rPr>
      </w:pPr>
      <w:r>
        <w:rPr>
          <w:rStyle w:val="Istaknuto"/>
          <w:i w:val="0"/>
        </w:rPr>
        <w:t xml:space="preserve">AOP </w:t>
      </w:r>
      <w:r w:rsidR="00223698">
        <w:rPr>
          <w:rStyle w:val="Istaknuto"/>
          <w:i w:val="0"/>
        </w:rPr>
        <w:t>256</w:t>
      </w:r>
      <w:r>
        <w:rPr>
          <w:rStyle w:val="Istaknuto"/>
          <w:i w:val="0"/>
        </w:rPr>
        <w:t xml:space="preserve"> </w:t>
      </w:r>
      <w:r w:rsidR="00223698">
        <w:rPr>
          <w:rStyle w:val="Istaknuto"/>
          <w:i w:val="0"/>
        </w:rPr>
        <w:t>Naknade građanima i kućanstvima u naravi odnose se na nabavu radnih udžbenika za učenike.</w:t>
      </w:r>
    </w:p>
    <w:p w14:paraId="001B9D68" w14:textId="3E724FA3" w:rsidR="00A66226" w:rsidRDefault="00A66226" w:rsidP="00F41AF6">
      <w:pPr>
        <w:rPr>
          <w:rStyle w:val="Istaknuto"/>
          <w:i w:val="0"/>
        </w:rPr>
      </w:pPr>
    </w:p>
    <w:p w14:paraId="4265E42D" w14:textId="7E087C96" w:rsidR="00A66226" w:rsidRDefault="00A66226" w:rsidP="00F41AF6">
      <w:pPr>
        <w:rPr>
          <w:rStyle w:val="Istaknuto"/>
          <w:i w:val="0"/>
        </w:rPr>
      </w:pPr>
      <w:r>
        <w:rPr>
          <w:rStyle w:val="Istaknuto"/>
          <w:i w:val="0"/>
        </w:rPr>
        <w:t>Bilješka broj 2</w:t>
      </w:r>
      <w:r w:rsidR="00223698">
        <w:rPr>
          <w:rStyle w:val="Istaknuto"/>
          <w:i w:val="0"/>
        </w:rPr>
        <w:t>6</w:t>
      </w:r>
    </w:p>
    <w:p w14:paraId="26A078FC" w14:textId="754E2400" w:rsidR="00223698" w:rsidRDefault="00223698" w:rsidP="00F41AF6">
      <w:pPr>
        <w:rPr>
          <w:rStyle w:val="Istaknuto"/>
          <w:i w:val="0"/>
        </w:rPr>
      </w:pPr>
    </w:p>
    <w:p w14:paraId="51C806A4" w14:textId="1C25F6BA" w:rsidR="00223698" w:rsidRDefault="00223698" w:rsidP="00F41AF6">
      <w:pPr>
        <w:rPr>
          <w:rStyle w:val="Istaknuto"/>
          <w:i w:val="0"/>
        </w:rPr>
      </w:pPr>
      <w:r>
        <w:rPr>
          <w:rStyle w:val="Istaknuto"/>
          <w:i w:val="0"/>
        </w:rPr>
        <w:t xml:space="preserve">AOP 289 bilježi rast za 201,2% zbog potraživanja za isplate po sudskim presudama. </w:t>
      </w:r>
    </w:p>
    <w:p w14:paraId="0FCD1296" w14:textId="77777777" w:rsidR="00521AB8" w:rsidRDefault="00521AB8" w:rsidP="00F41AF6">
      <w:pPr>
        <w:rPr>
          <w:rStyle w:val="Istaknuto"/>
          <w:i w:val="0"/>
        </w:rPr>
      </w:pPr>
    </w:p>
    <w:p w14:paraId="4D707A38" w14:textId="6D98B12F" w:rsidR="00A66226" w:rsidRDefault="00A66226" w:rsidP="00F41AF6">
      <w:pPr>
        <w:rPr>
          <w:rStyle w:val="Istaknuto"/>
          <w:i w:val="0"/>
        </w:rPr>
      </w:pPr>
    </w:p>
    <w:p w14:paraId="15D24AA4" w14:textId="27BADEE1" w:rsidR="00223698" w:rsidRDefault="00223698" w:rsidP="00F41AF6">
      <w:pPr>
        <w:rPr>
          <w:rStyle w:val="Istaknuto"/>
          <w:i w:val="0"/>
        </w:rPr>
      </w:pPr>
      <w:r>
        <w:rPr>
          <w:rStyle w:val="Istaknuto"/>
          <w:i w:val="0"/>
        </w:rPr>
        <w:lastRenderedPageBreak/>
        <w:t xml:space="preserve">Bilješka broj </w:t>
      </w:r>
      <w:r w:rsidR="00521AB8">
        <w:rPr>
          <w:rStyle w:val="Istaknuto"/>
          <w:i w:val="0"/>
        </w:rPr>
        <w:t>27</w:t>
      </w:r>
    </w:p>
    <w:p w14:paraId="47051808" w14:textId="2977D0E3" w:rsidR="00521AB8" w:rsidRDefault="00521AB8" w:rsidP="00F41AF6">
      <w:pPr>
        <w:rPr>
          <w:rStyle w:val="Istaknuto"/>
          <w:i w:val="0"/>
        </w:rPr>
      </w:pPr>
    </w:p>
    <w:p w14:paraId="7495501B" w14:textId="494ECBAC" w:rsidR="00521AB8" w:rsidRDefault="00521AB8" w:rsidP="00F41AF6">
      <w:pPr>
        <w:rPr>
          <w:rStyle w:val="Istaknuto"/>
          <w:i w:val="0"/>
        </w:rPr>
      </w:pPr>
      <w:r>
        <w:rPr>
          <w:rStyle w:val="Istaknuto"/>
          <w:i w:val="0"/>
        </w:rPr>
        <w:t>Rashodi za nabavu nefinancijske imovine odnose se na uređenje okoliša škole, nabavu namještaja za učionicu tehničke kulture, ormara za kabinet kemije i biologije, opreme za novu školsku kuhinju u područnoj školi, video nadzora, motornu kosilicu, knjige za školsku knjižnicu te udžbenika za sve učenike.</w:t>
      </w:r>
    </w:p>
    <w:p w14:paraId="6EE874C0" w14:textId="66D3DFD6" w:rsidR="00521AB8" w:rsidRDefault="00521AB8" w:rsidP="00F41AF6">
      <w:pPr>
        <w:rPr>
          <w:rStyle w:val="Istaknuto"/>
          <w:i w:val="0"/>
        </w:rPr>
      </w:pPr>
    </w:p>
    <w:p w14:paraId="0315C65B" w14:textId="14E2B840" w:rsidR="00521AB8" w:rsidRDefault="00521AB8" w:rsidP="00F41AF6">
      <w:pPr>
        <w:rPr>
          <w:rStyle w:val="Istaknuto"/>
          <w:i w:val="0"/>
        </w:rPr>
      </w:pPr>
      <w:r>
        <w:rPr>
          <w:rStyle w:val="Istaknuto"/>
          <w:i w:val="0"/>
        </w:rPr>
        <w:t>Bilješka broj 28</w:t>
      </w:r>
    </w:p>
    <w:p w14:paraId="167AC4E9" w14:textId="77777777" w:rsidR="00521AB8" w:rsidRDefault="00521AB8" w:rsidP="00F41AF6">
      <w:pPr>
        <w:rPr>
          <w:rStyle w:val="Istaknuto"/>
          <w:i w:val="0"/>
        </w:rPr>
      </w:pPr>
    </w:p>
    <w:p w14:paraId="3BA950DC" w14:textId="72C387D5" w:rsidR="003A5D4E" w:rsidRPr="00935D20" w:rsidRDefault="003A5D4E" w:rsidP="00F41AF6">
      <w:pPr>
        <w:rPr>
          <w:rStyle w:val="Istaknuto"/>
          <w:i w:val="0"/>
        </w:rPr>
      </w:pPr>
      <w:r>
        <w:rPr>
          <w:rStyle w:val="Istaknuto"/>
          <w:i w:val="0"/>
        </w:rPr>
        <w:t>AOP 63</w:t>
      </w:r>
      <w:r w:rsidR="00A66226">
        <w:rPr>
          <w:rStyle w:val="Istaknuto"/>
          <w:i w:val="0"/>
        </w:rPr>
        <w:t>6</w:t>
      </w:r>
      <w:r w:rsidR="005B1F51">
        <w:rPr>
          <w:rStyle w:val="Istaknuto"/>
          <w:i w:val="0"/>
        </w:rPr>
        <w:t xml:space="preserve"> </w:t>
      </w:r>
      <w:r w:rsidR="00A66226">
        <w:rPr>
          <w:rStyle w:val="Istaknuto"/>
          <w:i w:val="0"/>
        </w:rPr>
        <w:t>Manjak</w:t>
      </w:r>
      <w:r w:rsidR="005B1F51">
        <w:rPr>
          <w:rStyle w:val="Istaknuto"/>
          <w:i w:val="0"/>
        </w:rPr>
        <w:t xml:space="preserve"> prihoda i primitaka </w:t>
      </w:r>
      <w:r w:rsidR="00A66226">
        <w:rPr>
          <w:rStyle w:val="Istaknuto"/>
          <w:i w:val="0"/>
        </w:rPr>
        <w:t>za pokriće</w:t>
      </w:r>
      <w:r w:rsidR="005B1F51">
        <w:rPr>
          <w:rStyle w:val="Istaknuto"/>
          <w:i w:val="0"/>
        </w:rPr>
        <w:t xml:space="preserve"> u slijedećem razdoblju nakon prenesenog </w:t>
      </w:r>
      <w:r w:rsidR="00A66226">
        <w:rPr>
          <w:rStyle w:val="Istaknuto"/>
          <w:i w:val="0"/>
        </w:rPr>
        <w:t>viška</w:t>
      </w:r>
      <w:r w:rsidR="005B1F51">
        <w:rPr>
          <w:rStyle w:val="Istaknuto"/>
          <w:i w:val="0"/>
        </w:rPr>
        <w:t xml:space="preserve"> iz 20</w:t>
      </w:r>
      <w:r w:rsidR="00521AB8">
        <w:rPr>
          <w:rStyle w:val="Istaknuto"/>
          <w:i w:val="0"/>
        </w:rPr>
        <w:t>20</w:t>
      </w:r>
      <w:r w:rsidR="005B1F51">
        <w:rPr>
          <w:rStyle w:val="Istaknuto"/>
          <w:i w:val="0"/>
        </w:rPr>
        <w:t>. godine</w:t>
      </w:r>
      <w:r w:rsidR="00EE6D36">
        <w:rPr>
          <w:rStyle w:val="Istaknuto"/>
          <w:i w:val="0"/>
        </w:rPr>
        <w:t xml:space="preserve"> </w:t>
      </w:r>
      <w:r w:rsidR="005B1F51">
        <w:rPr>
          <w:rStyle w:val="Istaknuto"/>
          <w:i w:val="0"/>
        </w:rPr>
        <w:t>(</w:t>
      </w:r>
      <w:r w:rsidR="00521AB8">
        <w:rPr>
          <w:rStyle w:val="Istaknuto"/>
          <w:i w:val="0"/>
        </w:rPr>
        <w:t>624.428,51 kn</w:t>
      </w:r>
      <w:r w:rsidR="005B1F51">
        <w:rPr>
          <w:rStyle w:val="Istaknuto"/>
          <w:i w:val="0"/>
        </w:rPr>
        <w:t xml:space="preserve">) iznosi </w:t>
      </w:r>
      <w:r w:rsidR="00521AB8">
        <w:rPr>
          <w:rStyle w:val="Istaknuto"/>
          <w:i w:val="0"/>
        </w:rPr>
        <w:t>181.563,80</w:t>
      </w:r>
      <w:r>
        <w:rPr>
          <w:rStyle w:val="Istaknuto"/>
          <w:i w:val="0"/>
        </w:rPr>
        <w:t xml:space="preserve"> kn a čine ga:</w:t>
      </w:r>
    </w:p>
    <w:p w14:paraId="698FE462" w14:textId="77777777" w:rsidR="0004014A" w:rsidRPr="00935D20" w:rsidRDefault="0004014A" w:rsidP="00F41AF6"/>
    <w:p w14:paraId="503962FC" w14:textId="77777777" w:rsidR="0004014A" w:rsidRPr="00935D20" w:rsidRDefault="0004014A" w:rsidP="00F41A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1561"/>
      </w:tblGrid>
      <w:tr w:rsidR="0004014A" w:rsidRPr="00935D20" w14:paraId="7C7E85CF" w14:textId="77777777">
        <w:tc>
          <w:tcPr>
            <w:tcW w:w="4643" w:type="dxa"/>
            <w:tcBorders>
              <w:top w:val="single" w:sz="4" w:space="0" w:color="auto"/>
              <w:left w:val="single" w:sz="4" w:space="0" w:color="auto"/>
              <w:bottom w:val="single" w:sz="4" w:space="0" w:color="auto"/>
              <w:right w:val="single" w:sz="4" w:space="0" w:color="auto"/>
            </w:tcBorders>
          </w:tcPr>
          <w:p w14:paraId="44974027" w14:textId="77777777" w:rsidR="0004014A" w:rsidRPr="00935D20" w:rsidRDefault="0004014A" w:rsidP="00F41AF6"/>
        </w:tc>
        <w:tc>
          <w:tcPr>
            <w:tcW w:w="1561" w:type="dxa"/>
            <w:tcBorders>
              <w:top w:val="single" w:sz="4" w:space="0" w:color="auto"/>
              <w:left w:val="single" w:sz="4" w:space="0" w:color="auto"/>
              <w:bottom w:val="single" w:sz="4" w:space="0" w:color="auto"/>
              <w:right w:val="single" w:sz="4" w:space="0" w:color="auto"/>
            </w:tcBorders>
          </w:tcPr>
          <w:p w14:paraId="7984F381" w14:textId="77777777" w:rsidR="0004014A" w:rsidRPr="00935D20" w:rsidRDefault="0004014A" w:rsidP="00F41AF6">
            <w:r w:rsidRPr="00935D20">
              <w:t>iznos</w:t>
            </w:r>
          </w:p>
        </w:tc>
      </w:tr>
      <w:tr w:rsidR="0004014A" w:rsidRPr="00935D20" w14:paraId="259D375D" w14:textId="77777777">
        <w:tc>
          <w:tcPr>
            <w:tcW w:w="4643" w:type="dxa"/>
            <w:tcBorders>
              <w:top w:val="single" w:sz="4" w:space="0" w:color="auto"/>
              <w:left w:val="single" w:sz="4" w:space="0" w:color="auto"/>
              <w:bottom w:val="single" w:sz="4" w:space="0" w:color="auto"/>
              <w:right w:val="single" w:sz="4" w:space="0" w:color="auto"/>
            </w:tcBorders>
          </w:tcPr>
          <w:p w14:paraId="1CE05069" w14:textId="77777777" w:rsidR="0004014A" w:rsidRPr="00935D20" w:rsidRDefault="00EE6D36" w:rsidP="00F41AF6">
            <w:r>
              <w:t xml:space="preserve">Školska kuhinja </w:t>
            </w:r>
          </w:p>
        </w:tc>
        <w:tc>
          <w:tcPr>
            <w:tcW w:w="1561" w:type="dxa"/>
            <w:tcBorders>
              <w:top w:val="single" w:sz="4" w:space="0" w:color="auto"/>
              <w:left w:val="single" w:sz="4" w:space="0" w:color="auto"/>
              <w:bottom w:val="single" w:sz="4" w:space="0" w:color="auto"/>
              <w:right w:val="single" w:sz="4" w:space="0" w:color="auto"/>
            </w:tcBorders>
          </w:tcPr>
          <w:p w14:paraId="64798982" w14:textId="7930BF1B" w:rsidR="009F7ECB" w:rsidRPr="00180E9E" w:rsidRDefault="00C372D2" w:rsidP="009F7ECB">
            <w:pPr>
              <w:jc w:val="right"/>
            </w:pPr>
            <w:r w:rsidRPr="00180E9E">
              <w:t>35.323,53</w:t>
            </w:r>
          </w:p>
        </w:tc>
      </w:tr>
      <w:tr w:rsidR="00AE7DC6" w:rsidRPr="00935D20" w14:paraId="10DEE04D" w14:textId="77777777">
        <w:tc>
          <w:tcPr>
            <w:tcW w:w="4643" w:type="dxa"/>
            <w:tcBorders>
              <w:top w:val="single" w:sz="4" w:space="0" w:color="auto"/>
              <w:left w:val="single" w:sz="4" w:space="0" w:color="auto"/>
              <w:bottom w:val="single" w:sz="4" w:space="0" w:color="auto"/>
              <w:right w:val="single" w:sz="4" w:space="0" w:color="auto"/>
            </w:tcBorders>
          </w:tcPr>
          <w:p w14:paraId="0D5C5EDC" w14:textId="77777777" w:rsidR="00AE7DC6" w:rsidRDefault="00AE7DC6" w:rsidP="00F41AF6">
            <w:r>
              <w:t>Erasmus + K2</w:t>
            </w:r>
          </w:p>
        </w:tc>
        <w:tc>
          <w:tcPr>
            <w:tcW w:w="1561" w:type="dxa"/>
            <w:tcBorders>
              <w:top w:val="single" w:sz="4" w:space="0" w:color="auto"/>
              <w:left w:val="single" w:sz="4" w:space="0" w:color="auto"/>
              <w:bottom w:val="single" w:sz="4" w:space="0" w:color="auto"/>
              <w:right w:val="single" w:sz="4" w:space="0" w:color="auto"/>
            </w:tcBorders>
          </w:tcPr>
          <w:p w14:paraId="2BAFC32A" w14:textId="6A84D96F" w:rsidR="00AE7DC6" w:rsidRPr="00180E9E" w:rsidRDefault="00A860AE" w:rsidP="00F05B3A">
            <w:pPr>
              <w:jc w:val="right"/>
            </w:pPr>
            <w:r w:rsidRPr="00180E9E">
              <w:t>51.309,43</w:t>
            </w:r>
          </w:p>
        </w:tc>
      </w:tr>
      <w:tr w:rsidR="0004014A" w:rsidRPr="00935D20" w14:paraId="0C7E74DE" w14:textId="77777777">
        <w:tc>
          <w:tcPr>
            <w:tcW w:w="4643" w:type="dxa"/>
            <w:tcBorders>
              <w:top w:val="single" w:sz="4" w:space="0" w:color="auto"/>
              <w:left w:val="single" w:sz="4" w:space="0" w:color="auto"/>
              <w:bottom w:val="single" w:sz="4" w:space="0" w:color="auto"/>
              <w:right w:val="single" w:sz="4" w:space="0" w:color="auto"/>
            </w:tcBorders>
          </w:tcPr>
          <w:p w14:paraId="514FACBC" w14:textId="77777777" w:rsidR="0004014A" w:rsidRPr="00935D20" w:rsidRDefault="0004014A" w:rsidP="00F41AF6">
            <w:proofErr w:type="spellStart"/>
            <w:r w:rsidRPr="00935D20">
              <w:t>unijapapir</w:t>
            </w:r>
            <w:proofErr w:type="spellEnd"/>
          </w:p>
        </w:tc>
        <w:tc>
          <w:tcPr>
            <w:tcW w:w="1561" w:type="dxa"/>
            <w:tcBorders>
              <w:top w:val="single" w:sz="4" w:space="0" w:color="auto"/>
              <w:left w:val="single" w:sz="4" w:space="0" w:color="auto"/>
              <w:bottom w:val="single" w:sz="4" w:space="0" w:color="auto"/>
              <w:right w:val="single" w:sz="4" w:space="0" w:color="auto"/>
            </w:tcBorders>
          </w:tcPr>
          <w:p w14:paraId="78A27C10" w14:textId="086B7A19" w:rsidR="004C2570" w:rsidRPr="00180E9E" w:rsidRDefault="004C2570" w:rsidP="004C2570">
            <w:pPr>
              <w:jc w:val="right"/>
            </w:pPr>
            <w:r w:rsidRPr="00180E9E">
              <w:t>10.393,67</w:t>
            </w:r>
          </w:p>
        </w:tc>
      </w:tr>
      <w:tr w:rsidR="0004014A" w:rsidRPr="00935D20" w14:paraId="729EE745" w14:textId="77777777">
        <w:tc>
          <w:tcPr>
            <w:tcW w:w="4643" w:type="dxa"/>
            <w:tcBorders>
              <w:top w:val="single" w:sz="4" w:space="0" w:color="auto"/>
              <w:left w:val="single" w:sz="4" w:space="0" w:color="auto"/>
              <w:bottom w:val="single" w:sz="4" w:space="0" w:color="auto"/>
              <w:right w:val="single" w:sz="4" w:space="0" w:color="auto"/>
            </w:tcBorders>
          </w:tcPr>
          <w:p w14:paraId="6A561049" w14:textId="7DA1EE3C" w:rsidR="0004014A" w:rsidRPr="00935D20" w:rsidRDefault="0004014A" w:rsidP="00F41AF6">
            <w:r w:rsidRPr="00935D20">
              <w:t>Školska zadruga Đurđica</w:t>
            </w:r>
            <w:r w:rsidR="009357EE">
              <w:t xml:space="preserve"> </w:t>
            </w:r>
          </w:p>
        </w:tc>
        <w:tc>
          <w:tcPr>
            <w:tcW w:w="1561" w:type="dxa"/>
            <w:tcBorders>
              <w:top w:val="single" w:sz="4" w:space="0" w:color="auto"/>
              <w:left w:val="single" w:sz="4" w:space="0" w:color="auto"/>
              <w:bottom w:val="single" w:sz="4" w:space="0" w:color="auto"/>
              <w:right w:val="single" w:sz="4" w:space="0" w:color="auto"/>
            </w:tcBorders>
          </w:tcPr>
          <w:p w14:paraId="02BB9DBC" w14:textId="67A31647" w:rsidR="0004014A" w:rsidRPr="00180E9E" w:rsidRDefault="00C372D2" w:rsidP="00F05B3A">
            <w:pPr>
              <w:jc w:val="right"/>
            </w:pPr>
            <w:r w:rsidRPr="00180E9E">
              <w:t>1</w:t>
            </w:r>
            <w:r w:rsidR="009F7ECB" w:rsidRPr="00180E9E">
              <w:t>10,23</w:t>
            </w:r>
          </w:p>
        </w:tc>
      </w:tr>
      <w:tr w:rsidR="0004014A" w:rsidRPr="00935D20" w14:paraId="1DD38B95" w14:textId="77777777">
        <w:tc>
          <w:tcPr>
            <w:tcW w:w="4643" w:type="dxa"/>
            <w:tcBorders>
              <w:top w:val="single" w:sz="4" w:space="0" w:color="auto"/>
              <w:left w:val="single" w:sz="4" w:space="0" w:color="auto"/>
              <w:bottom w:val="single" w:sz="4" w:space="0" w:color="auto"/>
              <w:right w:val="single" w:sz="4" w:space="0" w:color="auto"/>
            </w:tcBorders>
          </w:tcPr>
          <w:p w14:paraId="551B4830" w14:textId="77777777" w:rsidR="0004014A" w:rsidRPr="00935D20" w:rsidRDefault="0004014A" w:rsidP="00F41AF6">
            <w:r w:rsidRPr="00935D20">
              <w:t>Donacija Euroherc</w:t>
            </w:r>
          </w:p>
        </w:tc>
        <w:tc>
          <w:tcPr>
            <w:tcW w:w="1561" w:type="dxa"/>
            <w:tcBorders>
              <w:top w:val="single" w:sz="4" w:space="0" w:color="auto"/>
              <w:left w:val="single" w:sz="4" w:space="0" w:color="auto"/>
              <w:bottom w:val="single" w:sz="4" w:space="0" w:color="auto"/>
              <w:right w:val="single" w:sz="4" w:space="0" w:color="auto"/>
            </w:tcBorders>
          </w:tcPr>
          <w:p w14:paraId="12AD4F9A" w14:textId="683FB37D" w:rsidR="0004014A" w:rsidRPr="00180E9E" w:rsidRDefault="00C372D2" w:rsidP="00F05B3A">
            <w:pPr>
              <w:jc w:val="right"/>
            </w:pPr>
            <w:r w:rsidRPr="00180E9E">
              <w:t>10.171,81</w:t>
            </w:r>
          </w:p>
        </w:tc>
      </w:tr>
      <w:tr w:rsidR="009357EE" w:rsidRPr="00935D20" w14:paraId="382EFE3E" w14:textId="77777777">
        <w:tc>
          <w:tcPr>
            <w:tcW w:w="4643" w:type="dxa"/>
            <w:tcBorders>
              <w:top w:val="single" w:sz="4" w:space="0" w:color="auto"/>
              <w:left w:val="single" w:sz="4" w:space="0" w:color="auto"/>
              <w:bottom w:val="single" w:sz="4" w:space="0" w:color="auto"/>
              <w:right w:val="single" w:sz="4" w:space="0" w:color="auto"/>
            </w:tcBorders>
          </w:tcPr>
          <w:p w14:paraId="474059B3" w14:textId="79577C9A" w:rsidR="009357EE" w:rsidRPr="00935D20" w:rsidRDefault="009357EE" w:rsidP="00F41AF6">
            <w:r>
              <w:t>Neutrošena sredstva voditelja ŽSV-a</w:t>
            </w:r>
          </w:p>
        </w:tc>
        <w:tc>
          <w:tcPr>
            <w:tcW w:w="1561" w:type="dxa"/>
            <w:tcBorders>
              <w:top w:val="single" w:sz="4" w:space="0" w:color="auto"/>
              <w:left w:val="single" w:sz="4" w:space="0" w:color="auto"/>
              <w:bottom w:val="single" w:sz="4" w:space="0" w:color="auto"/>
              <w:right w:val="single" w:sz="4" w:space="0" w:color="auto"/>
            </w:tcBorders>
          </w:tcPr>
          <w:p w14:paraId="0ABE0E15" w14:textId="79989F68" w:rsidR="009357EE" w:rsidRPr="00180E9E" w:rsidRDefault="00C372D2" w:rsidP="00F05B3A">
            <w:pPr>
              <w:jc w:val="right"/>
            </w:pPr>
            <w:r w:rsidRPr="00180E9E">
              <w:t>14.068,83</w:t>
            </w:r>
          </w:p>
        </w:tc>
      </w:tr>
      <w:tr w:rsidR="0004014A" w:rsidRPr="00935D20" w14:paraId="25BBFED2" w14:textId="77777777">
        <w:tc>
          <w:tcPr>
            <w:tcW w:w="4643" w:type="dxa"/>
            <w:tcBorders>
              <w:top w:val="single" w:sz="4" w:space="0" w:color="auto"/>
              <w:left w:val="single" w:sz="4" w:space="0" w:color="auto"/>
              <w:bottom w:val="single" w:sz="4" w:space="0" w:color="auto"/>
              <w:right w:val="single" w:sz="4" w:space="0" w:color="auto"/>
            </w:tcBorders>
          </w:tcPr>
          <w:p w14:paraId="6C12CC26" w14:textId="20B3046B" w:rsidR="0004014A" w:rsidRPr="00935D20" w:rsidRDefault="00AE7DC6" w:rsidP="00F41AF6">
            <w:r>
              <w:t>Manjak – nacionalno sufinanciranje (pomoćnici u nastavi)</w:t>
            </w:r>
          </w:p>
        </w:tc>
        <w:tc>
          <w:tcPr>
            <w:tcW w:w="1561" w:type="dxa"/>
            <w:tcBorders>
              <w:top w:val="single" w:sz="4" w:space="0" w:color="auto"/>
              <w:left w:val="single" w:sz="4" w:space="0" w:color="auto"/>
              <w:bottom w:val="single" w:sz="4" w:space="0" w:color="auto"/>
              <w:right w:val="single" w:sz="4" w:space="0" w:color="auto"/>
            </w:tcBorders>
          </w:tcPr>
          <w:p w14:paraId="282EC804" w14:textId="0125C2E9" w:rsidR="0004014A" w:rsidRPr="00180E9E" w:rsidRDefault="00AE7DC6" w:rsidP="00F05B3A">
            <w:pPr>
              <w:jc w:val="right"/>
            </w:pPr>
            <w:r w:rsidRPr="00180E9E">
              <w:t>-</w:t>
            </w:r>
            <w:r w:rsidR="00C372D2" w:rsidRPr="00180E9E">
              <w:t>3.834,07</w:t>
            </w:r>
          </w:p>
        </w:tc>
      </w:tr>
      <w:tr w:rsidR="00A37272" w:rsidRPr="00935D20" w14:paraId="25B64F04" w14:textId="77777777">
        <w:tc>
          <w:tcPr>
            <w:tcW w:w="4643" w:type="dxa"/>
            <w:tcBorders>
              <w:top w:val="single" w:sz="4" w:space="0" w:color="auto"/>
              <w:left w:val="single" w:sz="4" w:space="0" w:color="auto"/>
              <w:bottom w:val="single" w:sz="4" w:space="0" w:color="auto"/>
              <w:right w:val="single" w:sz="4" w:space="0" w:color="auto"/>
            </w:tcBorders>
          </w:tcPr>
          <w:p w14:paraId="382B8F10" w14:textId="77777777" w:rsidR="00A37272" w:rsidRPr="00935D20" w:rsidRDefault="00A37272" w:rsidP="00F41AF6">
            <w:r>
              <w:t>Grad Koprivnica</w:t>
            </w:r>
          </w:p>
        </w:tc>
        <w:tc>
          <w:tcPr>
            <w:tcW w:w="1561" w:type="dxa"/>
            <w:tcBorders>
              <w:top w:val="single" w:sz="4" w:space="0" w:color="auto"/>
              <w:left w:val="single" w:sz="4" w:space="0" w:color="auto"/>
              <w:bottom w:val="single" w:sz="4" w:space="0" w:color="auto"/>
              <w:right w:val="single" w:sz="4" w:space="0" w:color="auto"/>
            </w:tcBorders>
          </w:tcPr>
          <w:p w14:paraId="7A1C2B4E" w14:textId="3C773A86" w:rsidR="00A37272" w:rsidRPr="00180E9E" w:rsidRDefault="00C372D2" w:rsidP="00E13A0B">
            <w:pPr>
              <w:jc w:val="right"/>
            </w:pPr>
            <w:r w:rsidRPr="00180E9E">
              <w:t>-20.096,66</w:t>
            </w:r>
          </w:p>
        </w:tc>
      </w:tr>
      <w:tr w:rsidR="0004014A" w:rsidRPr="00935D20" w14:paraId="6861ABA4" w14:textId="77777777">
        <w:tc>
          <w:tcPr>
            <w:tcW w:w="4643" w:type="dxa"/>
            <w:tcBorders>
              <w:top w:val="single" w:sz="4" w:space="0" w:color="auto"/>
              <w:left w:val="single" w:sz="4" w:space="0" w:color="auto"/>
              <w:bottom w:val="single" w:sz="4" w:space="0" w:color="auto"/>
              <w:right w:val="single" w:sz="4" w:space="0" w:color="auto"/>
            </w:tcBorders>
          </w:tcPr>
          <w:p w14:paraId="3C05E0C8" w14:textId="44638C5A" w:rsidR="0004014A" w:rsidRPr="00935D20" w:rsidRDefault="0004014A" w:rsidP="00F41AF6">
            <w:r w:rsidRPr="00935D20">
              <w:t>Pomoćnik u nastavi – projekt Odjek</w:t>
            </w:r>
            <w:r w:rsidR="00F05B3A">
              <w:t xml:space="preserve"> I</w:t>
            </w:r>
            <w:r w:rsidR="00521AB8">
              <w:t>V</w:t>
            </w:r>
            <w:r w:rsidR="00A37272">
              <w:t xml:space="preserve"> - EU</w:t>
            </w:r>
          </w:p>
        </w:tc>
        <w:tc>
          <w:tcPr>
            <w:tcW w:w="1561" w:type="dxa"/>
            <w:tcBorders>
              <w:top w:val="single" w:sz="4" w:space="0" w:color="auto"/>
              <w:left w:val="single" w:sz="4" w:space="0" w:color="auto"/>
              <w:bottom w:val="single" w:sz="4" w:space="0" w:color="auto"/>
              <w:right w:val="single" w:sz="4" w:space="0" w:color="auto"/>
            </w:tcBorders>
          </w:tcPr>
          <w:p w14:paraId="488D1B6B" w14:textId="472BB5D9" w:rsidR="0004014A" w:rsidRPr="00180E9E" w:rsidRDefault="00C372D2" w:rsidP="00C372D2">
            <w:pPr>
              <w:jc w:val="center"/>
            </w:pPr>
            <w:r w:rsidRPr="00180E9E">
              <w:t>-21.234,86</w:t>
            </w:r>
          </w:p>
        </w:tc>
      </w:tr>
      <w:tr w:rsidR="0004014A" w:rsidRPr="00935D20" w14:paraId="28C883BC" w14:textId="77777777">
        <w:tc>
          <w:tcPr>
            <w:tcW w:w="4643" w:type="dxa"/>
            <w:tcBorders>
              <w:top w:val="single" w:sz="4" w:space="0" w:color="auto"/>
              <w:left w:val="single" w:sz="4" w:space="0" w:color="auto"/>
              <w:bottom w:val="single" w:sz="4" w:space="0" w:color="auto"/>
              <w:right w:val="single" w:sz="4" w:space="0" w:color="auto"/>
            </w:tcBorders>
          </w:tcPr>
          <w:p w14:paraId="06028F45" w14:textId="77777777" w:rsidR="0004014A" w:rsidRPr="00935D20" w:rsidRDefault="007B4FAA" w:rsidP="00F41AF6">
            <w:r w:rsidRPr="00935D20">
              <w:t xml:space="preserve">Decentralizacija </w:t>
            </w:r>
          </w:p>
        </w:tc>
        <w:tc>
          <w:tcPr>
            <w:tcW w:w="1561" w:type="dxa"/>
            <w:tcBorders>
              <w:top w:val="single" w:sz="4" w:space="0" w:color="auto"/>
              <w:left w:val="single" w:sz="4" w:space="0" w:color="auto"/>
              <w:bottom w:val="single" w:sz="4" w:space="0" w:color="auto"/>
              <w:right w:val="single" w:sz="4" w:space="0" w:color="auto"/>
            </w:tcBorders>
          </w:tcPr>
          <w:p w14:paraId="2B3EF1A1" w14:textId="188AF944" w:rsidR="0004014A" w:rsidRPr="00180E9E" w:rsidRDefault="009357EE" w:rsidP="00A37272">
            <w:pPr>
              <w:jc w:val="right"/>
            </w:pPr>
            <w:r w:rsidRPr="00180E9E">
              <w:t>-</w:t>
            </w:r>
            <w:r w:rsidR="00521AB8" w:rsidRPr="00180E9E">
              <w:t>142.378,73</w:t>
            </w:r>
          </w:p>
        </w:tc>
      </w:tr>
      <w:tr w:rsidR="009357EE" w:rsidRPr="00935D20" w14:paraId="5BD13FFF" w14:textId="77777777">
        <w:tc>
          <w:tcPr>
            <w:tcW w:w="4643" w:type="dxa"/>
            <w:tcBorders>
              <w:top w:val="single" w:sz="4" w:space="0" w:color="auto"/>
              <w:left w:val="single" w:sz="4" w:space="0" w:color="auto"/>
              <w:bottom w:val="single" w:sz="4" w:space="0" w:color="auto"/>
              <w:right w:val="single" w:sz="4" w:space="0" w:color="auto"/>
            </w:tcBorders>
          </w:tcPr>
          <w:p w14:paraId="150C133F" w14:textId="12D753FC" w:rsidR="009357EE" w:rsidRDefault="00367E13" w:rsidP="00F41AF6">
            <w:r>
              <w:t>Manjak prihoda za isplate po sudskim presudama i testiranje zaposlenika</w:t>
            </w:r>
          </w:p>
        </w:tc>
        <w:tc>
          <w:tcPr>
            <w:tcW w:w="1561" w:type="dxa"/>
            <w:tcBorders>
              <w:top w:val="single" w:sz="4" w:space="0" w:color="auto"/>
              <w:left w:val="single" w:sz="4" w:space="0" w:color="auto"/>
              <w:bottom w:val="single" w:sz="4" w:space="0" w:color="auto"/>
              <w:right w:val="single" w:sz="4" w:space="0" w:color="auto"/>
            </w:tcBorders>
          </w:tcPr>
          <w:p w14:paraId="0B4B1E2C" w14:textId="10C98F6A" w:rsidR="009357EE" w:rsidRPr="00180E9E" w:rsidRDefault="00367E13" w:rsidP="00F05B3A">
            <w:pPr>
              <w:jc w:val="right"/>
            </w:pPr>
            <w:r w:rsidRPr="00180E9E">
              <w:t>-114.308,44</w:t>
            </w:r>
          </w:p>
        </w:tc>
      </w:tr>
      <w:tr w:rsidR="003301CC" w:rsidRPr="00935D20" w14:paraId="7EC4B05E" w14:textId="77777777">
        <w:tc>
          <w:tcPr>
            <w:tcW w:w="4643" w:type="dxa"/>
            <w:tcBorders>
              <w:top w:val="single" w:sz="4" w:space="0" w:color="auto"/>
              <w:left w:val="single" w:sz="4" w:space="0" w:color="auto"/>
              <w:bottom w:val="single" w:sz="4" w:space="0" w:color="auto"/>
              <w:right w:val="single" w:sz="4" w:space="0" w:color="auto"/>
            </w:tcBorders>
          </w:tcPr>
          <w:p w14:paraId="107450D1" w14:textId="634A1005" w:rsidR="003301CC" w:rsidRDefault="003301CC" w:rsidP="00F41AF6">
            <w:r>
              <w:t>Manjak prihoda za nabavu udžbenika</w:t>
            </w:r>
          </w:p>
        </w:tc>
        <w:tc>
          <w:tcPr>
            <w:tcW w:w="1561" w:type="dxa"/>
            <w:tcBorders>
              <w:top w:val="single" w:sz="4" w:space="0" w:color="auto"/>
              <w:left w:val="single" w:sz="4" w:space="0" w:color="auto"/>
              <w:bottom w:val="single" w:sz="4" w:space="0" w:color="auto"/>
              <w:right w:val="single" w:sz="4" w:space="0" w:color="auto"/>
            </w:tcBorders>
          </w:tcPr>
          <w:p w14:paraId="594D1FAA" w14:textId="5234BBC9" w:rsidR="003301CC" w:rsidRPr="00180E9E" w:rsidRDefault="003301CC" w:rsidP="00F05B3A">
            <w:pPr>
              <w:jc w:val="right"/>
            </w:pPr>
            <w:r w:rsidRPr="00180E9E">
              <w:t>-355,38</w:t>
            </w:r>
          </w:p>
        </w:tc>
      </w:tr>
      <w:tr w:rsidR="00367E13" w:rsidRPr="00935D20" w14:paraId="1B37C7B1" w14:textId="77777777">
        <w:tc>
          <w:tcPr>
            <w:tcW w:w="4643" w:type="dxa"/>
            <w:tcBorders>
              <w:top w:val="single" w:sz="4" w:space="0" w:color="auto"/>
              <w:left w:val="single" w:sz="4" w:space="0" w:color="auto"/>
              <w:bottom w:val="single" w:sz="4" w:space="0" w:color="auto"/>
              <w:right w:val="single" w:sz="4" w:space="0" w:color="auto"/>
            </w:tcBorders>
          </w:tcPr>
          <w:p w14:paraId="4BE8C05D" w14:textId="416281D2" w:rsidR="00367E13" w:rsidRDefault="00367E13" w:rsidP="00F41AF6">
            <w:r>
              <w:t>Manjak – režije za dvoranu</w:t>
            </w:r>
          </w:p>
        </w:tc>
        <w:tc>
          <w:tcPr>
            <w:tcW w:w="1561" w:type="dxa"/>
            <w:tcBorders>
              <w:top w:val="single" w:sz="4" w:space="0" w:color="auto"/>
              <w:left w:val="single" w:sz="4" w:space="0" w:color="auto"/>
              <w:bottom w:val="single" w:sz="4" w:space="0" w:color="auto"/>
              <w:right w:val="single" w:sz="4" w:space="0" w:color="auto"/>
            </w:tcBorders>
          </w:tcPr>
          <w:p w14:paraId="3B287C5D" w14:textId="6DF6B67F" w:rsidR="00367E13" w:rsidRPr="00180E9E" w:rsidRDefault="00367E13" w:rsidP="00F05B3A">
            <w:pPr>
              <w:jc w:val="right"/>
            </w:pPr>
            <w:r w:rsidRPr="00180E9E">
              <w:t>-119,41</w:t>
            </w:r>
          </w:p>
        </w:tc>
      </w:tr>
      <w:tr w:rsidR="003301CC" w:rsidRPr="00935D20" w14:paraId="552683BF" w14:textId="77777777">
        <w:tc>
          <w:tcPr>
            <w:tcW w:w="4643" w:type="dxa"/>
            <w:tcBorders>
              <w:top w:val="single" w:sz="4" w:space="0" w:color="auto"/>
              <w:left w:val="single" w:sz="4" w:space="0" w:color="auto"/>
              <w:bottom w:val="single" w:sz="4" w:space="0" w:color="auto"/>
              <w:right w:val="single" w:sz="4" w:space="0" w:color="auto"/>
            </w:tcBorders>
          </w:tcPr>
          <w:p w14:paraId="328630C6" w14:textId="2A47F676" w:rsidR="003301CC" w:rsidRDefault="003301CC" w:rsidP="00F41AF6">
            <w:r>
              <w:t>Manjak prihoda za popravak tableta učenika</w:t>
            </w:r>
          </w:p>
        </w:tc>
        <w:tc>
          <w:tcPr>
            <w:tcW w:w="1561" w:type="dxa"/>
            <w:tcBorders>
              <w:top w:val="single" w:sz="4" w:space="0" w:color="auto"/>
              <w:left w:val="single" w:sz="4" w:space="0" w:color="auto"/>
              <w:bottom w:val="single" w:sz="4" w:space="0" w:color="auto"/>
              <w:right w:val="single" w:sz="4" w:space="0" w:color="auto"/>
            </w:tcBorders>
          </w:tcPr>
          <w:p w14:paraId="6109EF19" w14:textId="075B9303" w:rsidR="003301CC" w:rsidRPr="00180E9E" w:rsidRDefault="003301CC" w:rsidP="00F05B3A">
            <w:pPr>
              <w:jc w:val="right"/>
            </w:pPr>
            <w:r w:rsidRPr="00180E9E">
              <w:t>-618,75</w:t>
            </w:r>
          </w:p>
        </w:tc>
      </w:tr>
      <w:tr w:rsidR="00C372D2" w:rsidRPr="00C372D2" w14:paraId="27BE7683" w14:textId="77777777">
        <w:tc>
          <w:tcPr>
            <w:tcW w:w="4643" w:type="dxa"/>
            <w:tcBorders>
              <w:top w:val="single" w:sz="4" w:space="0" w:color="auto"/>
              <w:left w:val="single" w:sz="4" w:space="0" w:color="auto"/>
              <w:bottom w:val="single" w:sz="4" w:space="0" w:color="auto"/>
              <w:right w:val="single" w:sz="4" w:space="0" w:color="auto"/>
            </w:tcBorders>
          </w:tcPr>
          <w:p w14:paraId="2F727965" w14:textId="77777777" w:rsidR="00F05B3A" w:rsidRDefault="00F05B3A" w:rsidP="00F41AF6">
            <w:r>
              <w:t>Županijska natjecanja</w:t>
            </w:r>
          </w:p>
        </w:tc>
        <w:tc>
          <w:tcPr>
            <w:tcW w:w="1561" w:type="dxa"/>
            <w:tcBorders>
              <w:top w:val="single" w:sz="4" w:space="0" w:color="auto"/>
              <w:left w:val="single" w:sz="4" w:space="0" w:color="auto"/>
              <w:bottom w:val="single" w:sz="4" w:space="0" w:color="auto"/>
              <w:right w:val="single" w:sz="4" w:space="0" w:color="auto"/>
            </w:tcBorders>
          </w:tcPr>
          <w:p w14:paraId="55A7F713" w14:textId="5763B361" w:rsidR="00F05B3A" w:rsidRPr="00180E9E" w:rsidRDefault="00C372D2" w:rsidP="00F05B3A">
            <w:pPr>
              <w:jc w:val="right"/>
            </w:pPr>
            <w:r w:rsidRPr="00180E9E">
              <w:t>5,00</w:t>
            </w:r>
          </w:p>
        </w:tc>
      </w:tr>
    </w:tbl>
    <w:p w14:paraId="1E4E6243" w14:textId="77777777" w:rsidR="00BC6F06" w:rsidRDefault="00BC6F06" w:rsidP="00F41AF6"/>
    <w:p w14:paraId="3F33320A" w14:textId="77777777" w:rsidR="0004014A" w:rsidRPr="00935D20" w:rsidRDefault="0004014A" w:rsidP="00F41AF6"/>
    <w:p w14:paraId="2A1389FE" w14:textId="77777777" w:rsidR="0004014A" w:rsidRPr="00935D20" w:rsidRDefault="0004014A" w:rsidP="00B61C9E">
      <w:pPr>
        <w:jc w:val="center"/>
      </w:pPr>
    </w:p>
    <w:p w14:paraId="4AA19F61" w14:textId="77777777" w:rsidR="0004014A" w:rsidRPr="00D20D86" w:rsidRDefault="0004014A" w:rsidP="00D20D86">
      <w:pPr>
        <w:rPr>
          <w:b/>
          <w:bCs/>
        </w:rPr>
      </w:pPr>
      <w:r w:rsidRPr="00D20D86">
        <w:rPr>
          <w:b/>
          <w:bCs/>
        </w:rPr>
        <w:t>BILJEŠKE UZ OBRAZAC BIL</w:t>
      </w:r>
    </w:p>
    <w:p w14:paraId="356C185E" w14:textId="7535F4D7" w:rsidR="0004014A" w:rsidRPr="00935D20" w:rsidRDefault="0004014A" w:rsidP="00B61C9E">
      <w:pPr>
        <w:jc w:val="center"/>
      </w:pPr>
    </w:p>
    <w:p w14:paraId="18718497" w14:textId="77777777" w:rsidR="0004014A" w:rsidRPr="00935D20" w:rsidRDefault="0004014A" w:rsidP="00F41AF6"/>
    <w:p w14:paraId="3F6DCB0A" w14:textId="06C95652" w:rsidR="00180E9E" w:rsidRDefault="00180E9E" w:rsidP="00A92BED">
      <w:pPr>
        <w:numPr>
          <w:ilvl w:val="0"/>
          <w:numId w:val="2"/>
        </w:numPr>
      </w:pPr>
      <w:r>
        <w:t xml:space="preserve">AOP 010 bilježi rast za 8.5%, a do povećanja je došlo zbog završetka radova na rekonstrukciji stana u sklopu područne škole Vinica koji je prenamijenjen u školsku kuhinju i blagovaonicu. Po završetku radova </w:t>
      </w:r>
      <w:r w:rsidR="00FE5E7F">
        <w:t xml:space="preserve">školska kuhinja je stavljena u upotrebu. Također u 2021. godini uređen je okoliš matične škole u smislu postavljanja nove vodovodne mreže, rješenja problema slivnih voda, nivelacija terena te završno asfaltiranje i postavljanje </w:t>
      </w:r>
      <w:proofErr w:type="spellStart"/>
      <w:r w:rsidR="006B2C3C">
        <w:t>opločnika</w:t>
      </w:r>
      <w:proofErr w:type="spellEnd"/>
      <w:r w:rsidR="00FE5E7F">
        <w:t xml:space="preserve"> što je u konačnici povećalo vrijednost zgrade.</w:t>
      </w:r>
    </w:p>
    <w:p w14:paraId="2ACAA423" w14:textId="77777777" w:rsidR="005B4E15" w:rsidRDefault="005B4E15" w:rsidP="005B4E15">
      <w:pPr>
        <w:ind w:left="720"/>
      </w:pPr>
    </w:p>
    <w:p w14:paraId="30777C80" w14:textId="74075B4B" w:rsidR="00A92BED" w:rsidRDefault="00D76028" w:rsidP="00A92BED">
      <w:pPr>
        <w:numPr>
          <w:ilvl w:val="0"/>
          <w:numId w:val="2"/>
        </w:numPr>
      </w:pPr>
      <w:r w:rsidRPr="00935D20">
        <w:t xml:space="preserve">AOP 014 Postrojenja </w:t>
      </w:r>
      <w:r w:rsidR="00F259A6">
        <w:t>i oprema – u 202</w:t>
      </w:r>
      <w:r w:rsidR="00180E9E">
        <w:t>1</w:t>
      </w:r>
      <w:r w:rsidR="00F259A6">
        <w:t>. godini nabavljen</w:t>
      </w:r>
      <w:r w:rsidR="00180E9E">
        <w:t xml:space="preserve"> je namještaj za učionicu tehničke kulture, dva ormara za kabinet kemije i biologije, vanjski video nadzor, oprema za kuhinju i blagovaonu u područnoj školi Vinica i motorna kosilica.</w:t>
      </w:r>
    </w:p>
    <w:p w14:paraId="78712F36" w14:textId="77777777" w:rsidR="005B4E15" w:rsidRDefault="005B4E15" w:rsidP="005B4E15">
      <w:pPr>
        <w:pStyle w:val="Odlomakpopisa"/>
      </w:pPr>
    </w:p>
    <w:p w14:paraId="59464926" w14:textId="77777777" w:rsidR="005B4E15" w:rsidRPr="00935D20" w:rsidRDefault="005B4E15" w:rsidP="005B4E15">
      <w:pPr>
        <w:ind w:left="720"/>
      </w:pPr>
    </w:p>
    <w:p w14:paraId="72F011A4" w14:textId="292D26DA" w:rsidR="00D76028" w:rsidRDefault="00752EB6" w:rsidP="008B688C">
      <w:pPr>
        <w:numPr>
          <w:ilvl w:val="0"/>
          <w:numId w:val="2"/>
        </w:numPr>
      </w:pPr>
      <w:r>
        <w:lastRenderedPageBreak/>
        <w:t xml:space="preserve">AOP </w:t>
      </w:r>
      <w:r w:rsidR="00A92BED">
        <w:t xml:space="preserve">031 Knjige bilježi </w:t>
      </w:r>
      <w:r w:rsidR="00FE5E7F">
        <w:t>pad za 20%</w:t>
      </w:r>
      <w:r w:rsidR="00A92BED">
        <w:t xml:space="preserve"> zbog </w:t>
      </w:r>
      <w:r w:rsidR="00FE5E7F">
        <w:t>otpisa udžbenika koji se više ne koriste dok je nabava udžbenika bila manja jer se uglavnom nabavljala samo razlika udžbenika zbog većeg broja učenika ili uništenih udžbenika. Novi udžbenici nabavljali su se samo za osme razrede.</w:t>
      </w:r>
    </w:p>
    <w:p w14:paraId="443832F7" w14:textId="77777777" w:rsidR="005B4E15" w:rsidRDefault="005B4E15" w:rsidP="005B4E15">
      <w:pPr>
        <w:ind w:left="720"/>
      </w:pPr>
    </w:p>
    <w:p w14:paraId="3D5351DF" w14:textId="13AE1709" w:rsidR="005B4E15" w:rsidRPr="00935D20" w:rsidRDefault="005B4E15" w:rsidP="008B688C">
      <w:pPr>
        <w:numPr>
          <w:ilvl w:val="0"/>
          <w:numId w:val="2"/>
        </w:numPr>
      </w:pPr>
      <w:r>
        <w:t>AOP 061 Zalihe za obavljanje djelatnosti bilježe rast za 248,9% a radi se o zalihama namirnica za školsku kuhinju. Do 2021. godine smo imali zalihe samo u matičnoj školi jer u područnoj školi Vinica nije bilo školske kuhinje već je bila samo podjela hladnog obroka. Od travnja 2021. godine u školska kuhinja u područnoj školi je stavljena u funkciju, kuha se po istom jelovniku kao i u matičnoj školi te se vodi materijalni knjigovodstvo i evidentiraju zalihe namirnica.</w:t>
      </w:r>
    </w:p>
    <w:p w14:paraId="7EE1A3EE" w14:textId="77777777" w:rsidR="0004014A" w:rsidRPr="00935D20" w:rsidRDefault="0004014A" w:rsidP="008B688C">
      <w:pPr>
        <w:pStyle w:val="Odlomakpopisa1"/>
      </w:pPr>
    </w:p>
    <w:p w14:paraId="315ADC45" w14:textId="78EEE17E" w:rsidR="0004014A" w:rsidRDefault="00D76028" w:rsidP="008B688C">
      <w:pPr>
        <w:numPr>
          <w:ilvl w:val="0"/>
          <w:numId w:val="2"/>
        </w:numPr>
      </w:pPr>
      <w:r w:rsidRPr="00935D20">
        <w:t xml:space="preserve">AOP </w:t>
      </w:r>
      <w:r w:rsidR="00C43F49">
        <w:t xml:space="preserve">080 Ostala potraživanja bilježi </w:t>
      </w:r>
      <w:r w:rsidR="00C06A3D">
        <w:t xml:space="preserve">rast za </w:t>
      </w:r>
      <w:r w:rsidR="005B4E15">
        <w:t>121,7</w:t>
      </w:r>
      <w:r w:rsidR="00C06A3D">
        <w:t>% u odnosu na 20</w:t>
      </w:r>
      <w:r w:rsidR="005B4E15">
        <w:t>20</w:t>
      </w:r>
      <w:r w:rsidR="00C06A3D">
        <w:t xml:space="preserve">. godinu </w:t>
      </w:r>
      <w:r w:rsidR="005B4E15">
        <w:t xml:space="preserve">zbog povećanja potraživanja za bolovanje iznad 42 dana. </w:t>
      </w:r>
    </w:p>
    <w:p w14:paraId="61261F90" w14:textId="77777777" w:rsidR="005B4E15" w:rsidRDefault="005B4E15" w:rsidP="005B4E15">
      <w:pPr>
        <w:pStyle w:val="Odlomakpopisa"/>
      </w:pPr>
    </w:p>
    <w:p w14:paraId="7F4DA7AA" w14:textId="6618B8E5" w:rsidR="005B4E15" w:rsidRDefault="005B4E15" w:rsidP="008B688C">
      <w:pPr>
        <w:numPr>
          <w:ilvl w:val="0"/>
          <w:numId w:val="2"/>
        </w:numPr>
      </w:pPr>
      <w:r>
        <w:t>AOP 150 Potraživanja za pomoći proračunskim korisnicima iz proračuna koji im nije nadležan odnose se na potraživanja za isplate zaposlenicima po sudskim presudama.</w:t>
      </w:r>
    </w:p>
    <w:p w14:paraId="310ECAD3" w14:textId="77777777" w:rsidR="003168D8" w:rsidRDefault="003168D8" w:rsidP="003168D8">
      <w:pPr>
        <w:pStyle w:val="Odlomakpopisa"/>
      </w:pPr>
    </w:p>
    <w:p w14:paraId="5D7A1F47" w14:textId="19DC09A7" w:rsidR="003168D8" w:rsidRDefault="003168D8" w:rsidP="008B688C">
      <w:pPr>
        <w:numPr>
          <w:ilvl w:val="0"/>
          <w:numId w:val="2"/>
        </w:numPr>
      </w:pPr>
      <w:r>
        <w:t>AOP 156 Potraživanja proračunskih korisnika za sredstva uplaćena u nadležni proračun bilježe pad za 90,3% zbog isplata zaposlenicima po sudskim presudama i financiranja testiranja zaposlenika na korona virus za koje se povrat sredstava iz nenadležnog proračuna ostvaruje po podnesenim zahtjevima, a zahtjevi za sudske presude rade se po dobivanju pravomoćnosti koje nismo dobili za zaposlenike čiji su odvjetnici podnosili žalbe za parničke troškove.</w:t>
      </w:r>
    </w:p>
    <w:p w14:paraId="08410653" w14:textId="77777777" w:rsidR="003168D8" w:rsidRDefault="003168D8" w:rsidP="003168D8">
      <w:pPr>
        <w:pStyle w:val="Odlomakpopisa"/>
      </w:pPr>
    </w:p>
    <w:p w14:paraId="296AFB8D" w14:textId="214B7830" w:rsidR="003168D8" w:rsidRDefault="003168D8" w:rsidP="008B688C">
      <w:pPr>
        <w:numPr>
          <w:ilvl w:val="0"/>
          <w:numId w:val="2"/>
        </w:numPr>
      </w:pPr>
      <w:r>
        <w:t>AOP 172 Obveze za zaposlene veće su za 11,1% u odnosu na 2020. godinu zbog povećanja osnovice za obračun plaće i zbog isplata po sudskim presudama.</w:t>
      </w:r>
    </w:p>
    <w:p w14:paraId="4B5CB4AF" w14:textId="77777777" w:rsidR="003168D8" w:rsidRDefault="003168D8" w:rsidP="003168D8">
      <w:pPr>
        <w:pStyle w:val="Odlomakpopisa"/>
      </w:pPr>
    </w:p>
    <w:p w14:paraId="674E8BF9" w14:textId="1ADAC63B" w:rsidR="003168D8" w:rsidRPr="00935D20" w:rsidRDefault="003168D8" w:rsidP="008B688C">
      <w:pPr>
        <w:numPr>
          <w:ilvl w:val="0"/>
          <w:numId w:val="2"/>
        </w:numPr>
      </w:pPr>
      <w:r>
        <w:t>AOP 173 Obveze za materijalne rashode manje su za 70,6</w:t>
      </w:r>
      <w:r w:rsidR="00AE7385">
        <w:t>% jer smo u 2020. godini prenosili više neplaćenih računa za razliku od 2021. godine u kojoj smo imali mogućnost podmiriti većinu obveza i prenositi manji metodološki manjak budući da nam se većina materijalnih troškova financira iz decentraliziranih sredstava.</w:t>
      </w:r>
    </w:p>
    <w:p w14:paraId="452E4F36" w14:textId="77777777" w:rsidR="00C43F49" w:rsidRDefault="00C43F49" w:rsidP="00AE7385"/>
    <w:p w14:paraId="1CA1AE20" w14:textId="34097C74" w:rsidR="00C43F49" w:rsidRDefault="00C43F49" w:rsidP="00C43F49">
      <w:pPr>
        <w:numPr>
          <w:ilvl w:val="0"/>
          <w:numId w:val="2"/>
        </w:numPr>
      </w:pPr>
      <w:r>
        <w:t xml:space="preserve">AOP </w:t>
      </w:r>
      <w:r w:rsidR="00C06A3D">
        <w:t>18</w:t>
      </w:r>
      <w:r w:rsidR="00AE7385">
        <w:t>2</w:t>
      </w:r>
      <w:r w:rsidR="00C06A3D">
        <w:t xml:space="preserve"> Ostale tekuće obveze bilježe rast za </w:t>
      </w:r>
      <w:r w:rsidR="00AE7385">
        <w:t>31,6</w:t>
      </w:r>
      <w:r w:rsidR="00C06A3D">
        <w:t xml:space="preserve">% </w:t>
      </w:r>
      <w:r w:rsidR="00AE7385">
        <w:t xml:space="preserve">najvećim dijelom </w:t>
      </w:r>
      <w:r w:rsidR="00C06A3D">
        <w:t>zbog nezatvorenih obveza za bolovanje na teret HZZO-a.</w:t>
      </w:r>
    </w:p>
    <w:p w14:paraId="01A1BD7F" w14:textId="77777777" w:rsidR="00C43F49" w:rsidRDefault="00C43F49" w:rsidP="00C43F49">
      <w:pPr>
        <w:pStyle w:val="Odlomakpopisa"/>
      </w:pPr>
    </w:p>
    <w:p w14:paraId="34EF69A2" w14:textId="44692EC4" w:rsidR="00C43F49" w:rsidRDefault="00C43F49" w:rsidP="00C43F49">
      <w:pPr>
        <w:numPr>
          <w:ilvl w:val="0"/>
          <w:numId w:val="2"/>
        </w:numPr>
      </w:pPr>
      <w:r>
        <w:t xml:space="preserve">AOP </w:t>
      </w:r>
      <w:r w:rsidR="00C06A3D">
        <w:t>18</w:t>
      </w:r>
      <w:r w:rsidR="00AE7385">
        <w:t>3</w:t>
      </w:r>
      <w:r w:rsidR="00C06A3D">
        <w:t xml:space="preserve"> Obveze za nabavu nefinancijske imovine bilježe </w:t>
      </w:r>
      <w:r w:rsidR="00AE7385">
        <w:t>pad</w:t>
      </w:r>
      <w:r w:rsidR="00C06A3D">
        <w:t xml:space="preserve"> za </w:t>
      </w:r>
      <w:r w:rsidR="00AE7385">
        <w:t>96,8</w:t>
      </w:r>
      <w:r w:rsidR="00C06A3D">
        <w:t xml:space="preserve">% </w:t>
      </w:r>
      <w:r w:rsidR="00AE7385">
        <w:t>jer smo u 2021. godini većinu obveza zatvorili do 31.12. dok smo na kraju 2020. godini imali otvorene obveze za rekonstrukciju stana u područnoj školi te nabavu opreme.</w:t>
      </w:r>
    </w:p>
    <w:p w14:paraId="5FB4440B" w14:textId="77777777" w:rsidR="00F74DDA" w:rsidRDefault="00F74DDA" w:rsidP="00F74DDA">
      <w:pPr>
        <w:pStyle w:val="Odlomakpopisa"/>
      </w:pPr>
    </w:p>
    <w:p w14:paraId="21A33752" w14:textId="37E169BA" w:rsidR="00F74DDA" w:rsidRDefault="00DD6996" w:rsidP="00C43F49">
      <w:pPr>
        <w:numPr>
          <w:ilvl w:val="0"/>
          <w:numId w:val="2"/>
        </w:numPr>
      </w:pPr>
      <w:r>
        <w:t>Na kraju obračunskog razdoblja utvrđen je manjak</w:t>
      </w:r>
      <w:r w:rsidR="00AE7385">
        <w:t xml:space="preserve"> prihoda</w:t>
      </w:r>
      <w:r>
        <w:t xml:space="preserve"> u iznosu </w:t>
      </w:r>
      <w:r w:rsidR="00AE7385">
        <w:t>181.563,80</w:t>
      </w:r>
      <w:r>
        <w:t xml:space="preserve"> kn od čega je </w:t>
      </w:r>
      <w:r w:rsidR="002E0AC6">
        <w:t>171.049,35</w:t>
      </w:r>
      <w:r>
        <w:t xml:space="preserve"> kn manjak prihoda poslovanja a </w:t>
      </w:r>
      <w:r w:rsidR="002E0AC6">
        <w:t>10.514,45</w:t>
      </w:r>
      <w:r w:rsidR="00837FCA">
        <w:t xml:space="preserve"> kn manjak prihoda od nefinancijske imovine.</w:t>
      </w:r>
    </w:p>
    <w:p w14:paraId="24DB7F75" w14:textId="77777777" w:rsidR="002E0AC6" w:rsidRDefault="002E0AC6" w:rsidP="002E0AC6">
      <w:pPr>
        <w:pStyle w:val="Odlomakpopisa"/>
      </w:pPr>
    </w:p>
    <w:p w14:paraId="5DA1D7AA" w14:textId="7932BF9F" w:rsidR="002E0AC6" w:rsidRDefault="002E0AC6" w:rsidP="00C43F49">
      <w:pPr>
        <w:numPr>
          <w:ilvl w:val="0"/>
          <w:numId w:val="2"/>
        </w:numPr>
      </w:pPr>
      <w:r>
        <w:t>AOP 249 Obračunati prihodi bilježe rast za 201,2% zbog obračunatih prihoda za isplatu zaposlenicima po sudskim presudama.</w:t>
      </w:r>
    </w:p>
    <w:p w14:paraId="0D8E145E" w14:textId="77777777" w:rsidR="00A25486" w:rsidRDefault="00A25486" w:rsidP="00A25486">
      <w:pPr>
        <w:pStyle w:val="Odlomakpopisa"/>
      </w:pPr>
    </w:p>
    <w:p w14:paraId="011BA02F" w14:textId="2AEE395D" w:rsidR="009D4F2E" w:rsidRDefault="009D4F2E" w:rsidP="00370485"/>
    <w:p w14:paraId="101B6F58" w14:textId="77777777" w:rsidR="002E0AC6" w:rsidRDefault="002E0AC6" w:rsidP="00370485"/>
    <w:p w14:paraId="2C27DD6E" w14:textId="77777777" w:rsidR="0004014A" w:rsidRPr="00935D20" w:rsidRDefault="0004014A"/>
    <w:p w14:paraId="10669C8E" w14:textId="77777777" w:rsidR="0004014A" w:rsidRPr="00837FCA" w:rsidRDefault="0004014A" w:rsidP="00837FCA">
      <w:pPr>
        <w:rPr>
          <w:b/>
          <w:bCs/>
        </w:rPr>
      </w:pPr>
      <w:r w:rsidRPr="00837FCA">
        <w:rPr>
          <w:b/>
          <w:bCs/>
        </w:rPr>
        <w:lastRenderedPageBreak/>
        <w:t>BILJEŠKE UZ OBRAZAC RAS-FUNKCIJSKI</w:t>
      </w:r>
    </w:p>
    <w:p w14:paraId="09572C1D" w14:textId="77777777" w:rsidR="0004014A" w:rsidRPr="00935D20" w:rsidRDefault="0004014A" w:rsidP="00BE668E">
      <w:pPr>
        <w:jc w:val="center"/>
      </w:pPr>
    </w:p>
    <w:p w14:paraId="70441785" w14:textId="77777777" w:rsidR="001A16D4" w:rsidRDefault="001A16D4" w:rsidP="001A16D4"/>
    <w:p w14:paraId="7F4731FD" w14:textId="64B5E6C8" w:rsidR="00B40869" w:rsidRDefault="001A16D4" w:rsidP="001A16D4">
      <w:r>
        <w:t>AOP 122</w:t>
      </w:r>
      <w:r w:rsidR="000C456F">
        <w:t xml:space="preserve"> Dodatne usluge u obrazovanju prikazuju rashode za školsku kuhinju</w:t>
      </w:r>
      <w:r w:rsidR="00A0362F">
        <w:t xml:space="preserve">, rashode proizašlih iz projekta Shema voća i mlijeka </w:t>
      </w:r>
      <w:r w:rsidR="000C456F">
        <w:t>i rashode za prijevoz učenika</w:t>
      </w:r>
      <w:r w:rsidR="002E0AC6">
        <w:t>, a veći su za 5,5% zbog online nastave u 2020. godini zbog koje smo imali manje rashode i za prijevoz učenika i za shemu voća i mlijeka.</w:t>
      </w:r>
    </w:p>
    <w:p w14:paraId="6955ADAB" w14:textId="77777777" w:rsidR="00B40869" w:rsidRDefault="00B40869" w:rsidP="001A16D4"/>
    <w:p w14:paraId="16F47594" w14:textId="22561004" w:rsidR="00556D75" w:rsidRDefault="00556D75" w:rsidP="00556D75">
      <w:r w:rsidRPr="00935D20">
        <w:t xml:space="preserve">AOP 137 </w:t>
      </w:r>
      <w:r>
        <w:t xml:space="preserve">bilježi porast ukupnih rashoda za </w:t>
      </w:r>
      <w:r w:rsidR="002E0AC6">
        <w:t>6,5</w:t>
      </w:r>
      <w:r>
        <w:t xml:space="preserve"> % u odnosu na 20</w:t>
      </w:r>
      <w:r w:rsidR="002E0AC6">
        <w:t>20</w:t>
      </w:r>
      <w:r>
        <w:t>. godinu. U 20</w:t>
      </w:r>
      <w:r w:rsidR="00837FCA">
        <w:t>2</w:t>
      </w:r>
      <w:r w:rsidR="002E0AC6">
        <w:t>1</w:t>
      </w:r>
      <w:r>
        <w:t xml:space="preserve">. godini imali smo veće rashode </w:t>
      </w:r>
      <w:r w:rsidR="002E0AC6">
        <w:t>zbog isplata po sudskim presudama, ali i za redovne plaće zaposlenika zbog rasta osnovice za obračun plaće. Također smo imali nešto veće rashode za prijevoz učenika i za režijske troškove.</w:t>
      </w:r>
    </w:p>
    <w:p w14:paraId="464309E9" w14:textId="77777777" w:rsidR="00A711F0" w:rsidRDefault="00A711F0" w:rsidP="00343648"/>
    <w:p w14:paraId="730F1DC0" w14:textId="77777777" w:rsidR="00A711F0" w:rsidRDefault="00A711F0" w:rsidP="00343648"/>
    <w:p w14:paraId="25F5376D" w14:textId="77777777" w:rsidR="00A711F0" w:rsidRDefault="00A711F0" w:rsidP="00343648"/>
    <w:p w14:paraId="4B5C20FF" w14:textId="77777777" w:rsidR="00A711F0" w:rsidRPr="00837FCA" w:rsidRDefault="00A711F0" w:rsidP="00837FCA">
      <w:pPr>
        <w:rPr>
          <w:b/>
          <w:bCs/>
        </w:rPr>
      </w:pPr>
      <w:r w:rsidRPr="00837FCA">
        <w:rPr>
          <w:b/>
          <w:bCs/>
        </w:rPr>
        <w:t>BILJEŠKE UZ IZVJEŠTAJ O OBVEZAMA</w:t>
      </w:r>
    </w:p>
    <w:p w14:paraId="286AACA8" w14:textId="5B41AB18" w:rsidR="00A711F0" w:rsidRPr="00935D20" w:rsidRDefault="00A711F0" w:rsidP="00A711F0">
      <w:pPr>
        <w:jc w:val="center"/>
      </w:pPr>
    </w:p>
    <w:p w14:paraId="7E7C03A3" w14:textId="77777777" w:rsidR="00A711F0" w:rsidRDefault="00A711F0" w:rsidP="00837FCA"/>
    <w:p w14:paraId="76A4908D" w14:textId="5832EF3D" w:rsidR="005D1110" w:rsidRDefault="00556D75" w:rsidP="005D1110">
      <w:r>
        <w:t xml:space="preserve">Obveze na kraju obračunskog razdoblja </w:t>
      </w:r>
      <w:r w:rsidR="0073799A">
        <w:t>manje</w:t>
      </w:r>
      <w:r>
        <w:t xml:space="preserve"> su od prenesenih obveza iz 20</w:t>
      </w:r>
      <w:r w:rsidR="0073799A">
        <w:t>20</w:t>
      </w:r>
      <w:r>
        <w:t xml:space="preserve">. godine jer smo </w:t>
      </w:r>
      <w:r w:rsidR="0073799A">
        <w:t>na kraju 2021. godine podmirili veliki veći dio računa kako bi prenosili što manji metodološki manjak. Obveze na kraju izvještajnog razdoblja najvećim dijelom se odnose na obveze za zaposlene.</w:t>
      </w:r>
      <w:r w:rsidR="00A860AE">
        <w:t xml:space="preserve"> </w:t>
      </w:r>
    </w:p>
    <w:p w14:paraId="224A79AB" w14:textId="77777777" w:rsidR="005D1110" w:rsidRDefault="005D1110" w:rsidP="005D1110"/>
    <w:p w14:paraId="1E2A661F" w14:textId="77777777" w:rsidR="005D1110" w:rsidRDefault="005D1110" w:rsidP="005D1110"/>
    <w:p w14:paraId="151AB71F" w14:textId="77777777" w:rsidR="00D429C3" w:rsidRDefault="00D429C3" w:rsidP="00D429C3"/>
    <w:p w14:paraId="3CEFE68C" w14:textId="77777777" w:rsidR="00D429C3" w:rsidRDefault="00D429C3" w:rsidP="00D429C3"/>
    <w:p w14:paraId="5A6C4ADF" w14:textId="52529F1F" w:rsidR="00D429C3" w:rsidRPr="00A860AE" w:rsidRDefault="00D429C3" w:rsidP="00A860AE">
      <w:pPr>
        <w:rPr>
          <w:b/>
          <w:bCs/>
        </w:rPr>
      </w:pPr>
      <w:r w:rsidRPr="00A860AE">
        <w:rPr>
          <w:b/>
          <w:bCs/>
        </w:rPr>
        <w:t xml:space="preserve">BILJEŠKE UZ IZVJEŠTAJ O PROMJENAMA U VRIJEDNOSTI </w:t>
      </w:r>
      <w:r w:rsidR="0073799A">
        <w:rPr>
          <w:b/>
          <w:bCs/>
        </w:rPr>
        <w:t>I OBUJMU IMOVINE I OBVEZA</w:t>
      </w:r>
    </w:p>
    <w:p w14:paraId="00E1A931" w14:textId="77777777" w:rsidR="00D429C3" w:rsidRDefault="00D429C3" w:rsidP="00D429C3">
      <w:pPr>
        <w:jc w:val="center"/>
      </w:pPr>
    </w:p>
    <w:p w14:paraId="46F03518" w14:textId="3ED65AE4" w:rsidR="002D168D" w:rsidRDefault="002D168D" w:rsidP="00A860AE"/>
    <w:p w14:paraId="7A61740F" w14:textId="6DCB0C41" w:rsidR="00A860AE" w:rsidRDefault="0073799A" w:rsidP="00A860AE">
      <w:r>
        <w:t>Iako smo obveznici popunjavanja ovog izvještaja, u 2021. godini nismo imali evidentirane nikakve promjene u vrijednosti i obujmu imovine i obveza.</w:t>
      </w:r>
    </w:p>
    <w:p w14:paraId="0831A1E1" w14:textId="77777777" w:rsidR="002D168D" w:rsidRDefault="002D168D" w:rsidP="00D429C3">
      <w:pPr>
        <w:jc w:val="center"/>
      </w:pPr>
    </w:p>
    <w:p w14:paraId="731BE524" w14:textId="77777777" w:rsidR="002D168D" w:rsidRDefault="002D168D" w:rsidP="00D429C3">
      <w:pPr>
        <w:jc w:val="center"/>
      </w:pPr>
    </w:p>
    <w:p w14:paraId="10327CF5" w14:textId="77777777" w:rsidR="002D168D" w:rsidRDefault="002D168D" w:rsidP="00D429C3">
      <w:pPr>
        <w:jc w:val="center"/>
      </w:pPr>
    </w:p>
    <w:p w14:paraId="7BF0859D" w14:textId="77777777" w:rsidR="00D429C3" w:rsidRPr="00935D20" w:rsidRDefault="00D429C3" w:rsidP="00D429C3">
      <w:pPr>
        <w:jc w:val="center"/>
      </w:pPr>
    </w:p>
    <w:p w14:paraId="5542C43B" w14:textId="29649F2A" w:rsidR="002D168D" w:rsidRDefault="002D168D" w:rsidP="002D168D">
      <w:r w:rsidRPr="00935D20">
        <w:t xml:space="preserve">U Koprivnici,  </w:t>
      </w:r>
      <w:r w:rsidR="00A860AE">
        <w:t>2</w:t>
      </w:r>
      <w:r w:rsidR="0073799A">
        <w:t>8</w:t>
      </w:r>
      <w:r w:rsidRPr="00935D20">
        <w:t>. siječnja</w:t>
      </w:r>
      <w:r w:rsidR="00A860AE">
        <w:t xml:space="preserve"> </w:t>
      </w:r>
      <w:r w:rsidRPr="00935D20">
        <w:t xml:space="preserve"> 20</w:t>
      </w:r>
      <w:r>
        <w:t>2</w:t>
      </w:r>
      <w:r w:rsidR="0073799A">
        <w:t>2</w:t>
      </w:r>
      <w:r w:rsidRPr="00935D20">
        <w:t>.</w:t>
      </w:r>
    </w:p>
    <w:p w14:paraId="7D6EF05C" w14:textId="77777777" w:rsidR="002D168D" w:rsidRDefault="002D168D" w:rsidP="002D168D"/>
    <w:p w14:paraId="2407ECF7" w14:textId="77777777" w:rsidR="002D168D" w:rsidRDefault="002D168D" w:rsidP="002D168D"/>
    <w:p w14:paraId="5F1A76CD" w14:textId="77777777" w:rsidR="002D168D" w:rsidRDefault="002D168D" w:rsidP="002D168D"/>
    <w:p w14:paraId="154C83B9" w14:textId="77777777" w:rsidR="002D168D" w:rsidRDefault="002D168D" w:rsidP="002D168D"/>
    <w:p w14:paraId="3365FD3D" w14:textId="77777777" w:rsidR="002D168D" w:rsidRDefault="002D168D" w:rsidP="002D168D"/>
    <w:p w14:paraId="6AB0ED5E" w14:textId="77777777" w:rsidR="002D168D" w:rsidRPr="00935D20" w:rsidRDefault="002D168D" w:rsidP="002D168D">
      <w:r>
        <w:t>voditeljica računovodstva</w:t>
      </w:r>
      <w:r w:rsidRPr="00935D20">
        <w:t>:</w:t>
      </w:r>
      <w:r>
        <w:tab/>
      </w:r>
      <w:r>
        <w:tab/>
      </w:r>
      <w:r>
        <w:tab/>
      </w:r>
      <w:r>
        <w:tab/>
      </w:r>
      <w:r>
        <w:tab/>
      </w:r>
      <w:r>
        <w:tab/>
        <w:t>ravnateljica:</w:t>
      </w:r>
    </w:p>
    <w:p w14:paraId="208F11AE" w14:textId="77777777" w:rsidR="002D168D" w:rsidRPr="00935D20" w:rsidRDefault="002D168D" w:rsidP="002D168D">
      <w:r w:rsidRPr="00935D20">
        <w:t>Mirjana Kolarek</w:t>
      </w:r>
      <w:r>
        <w:t xml:space="preserve">, </w:t>
      </w:r>
      <w:proofErr w:type="spellStart"/>
      <w:r>
        <w:t>dipl.oec</w:t>
      </w:r>
      <w:proofErr w:type="spellEnd"/>
      <w:r>
        <w:t>.</w:t>
      </w:r>
      <w:r>
        <w:tab/>
      </w:r>
      <w:r>
        <w:tab/>
      </w:r>
      <w:r>
        <w:tab/>
      </w:r>
      <w:r>
        <w:tab/>
      </w:r>
      <w:r>
        <w:tab/>
      </w:r>
      <w:r>
        <w:tab/>
        <w:t>mr. Sanja Prelogović</w:t>
      </w:r>
    </w:p>
    <w:p w14:paraId="2BA61495" w14:textId="77777777" w:rsidR="002D168D" w:rsidRPr="00935D20" w:rsidRDefault="002D168D" w:rsidP="002D168D">
      <w:pPr>
        <w:ind w:left="360"/>
      </w:pPr>
    </w:p>
    <w:p w14:paraId="1D705FD6" w14:textId="77777777" w:rsidR="002D168D" w:rsidRPr="00935D20" w:rsidRDefault="002D168D" w:rsidP="002D168D">
      <w:pPr>
        <w:ind w:left="360"/>
      </w:pPr>
    </w:p>
    <w:p w14:paraId="7B19680F" w14:textId="77777777" w:rsidR="00D429C3" w:rsidRPr="00935D20" w:rsidRDefault="00D429C3" w:rsidP="005D1110"/>
    <w:sectPr w:rsidR="00D429C3" w:rsidRPr="00935D20" w:rsidSect="00FE40A7">
      <w:footnotePr>
        <w:pos w:val="beneathText"/>
      </w:footnotePr>
      <w:pgSz w:w="11905" w:h="16837"/>
      <w:pgMar w:top="1417" w:right="1417" w:bottom="1417" w:left="1417" w:header="1417" w:footer="141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BFB"/>
    <w:multiLevelType w:val="hybridMultilevel"/>
    <w:tmpl w:val="C8969F9E"/>
    <w:lvl w:ilvl="0" w:tplc="BF1C43A6">
      <w:start w:val="3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220BD5"/>
    <w:multiLevelType w:val="hybridMultilevel"/>
    <w:tmpl w:val="1944AA4E"/>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15:restartNumberingAfterBreak="0">
    <w:nsid w:val="36A774F1"/>
    <w:multiLevelType w:val="hybridMultilevel"/>
    <w:tmpl w:val="06400A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A809DD"/>
    <w:multiLevelType w:val="hybridMultilevel"/>
    <w:tmpl w:val="222EA1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F39299D"/>
    <w:multiLevelType w:val="hybridMultilevel"/>
    <w:tmpl w:val="E4B0B15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77694B57"/>
    <w:multiLevelType w:val="hybridMultilevel"/>
    <w:tmpl w:val="24B22D08"/>
    <w:lvl w:ilvl="0" w:tplc="0BAC44A0">
      <w:start w:val="3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7DE74E6F"/>
    <w:multiLevelType w:val="hybridMultilevel"/>
    <w:tmpl w:val="754C5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DBE"/>
    <w:rsid w:val="00006935"/>
    <w:rsid w:val="00014764"/>
    <w:rsid w:val="0004014A"/>
    <w:rsid w:val="00041FDC"/>
    <w:rsid w:val="00042FFB"/>
    <w:rsid w:val="00043150"/>
    <w:rsid w:val="0005337E"/>
    <w:rsid w:val="0005688B"/>
    <w:rsid w:val="00070AD5"/>
    <w:rsid w:val="00075FA8"/>
    <w:rsid w:val="0009111D"/>
    <w:rsid w:val="00093E94"/>
    <w:rsid w:val="000C456F"/>
    <w:rsid w:val="000C6AAA"/>
    <w:rsid w:val="000C6ABC"/>
    <w:rsid w:val="000D09C6"/>
    <w:rsid w:val="000D1B1A"/>
    <w:rsid w:val="000D5F64"/>
    <w:rsid w:val="000D7C87"/>
    <w:rsid w:val="00134CCE"/>
    <w:rsid w:val="001457E9"/>
    <w:rsid w:val="00146360"/>
    <w:rsid w:val="00152710"/>
    <w:rsid w:val="00155F78"/>
    <w:rsid w:val="00180E9E"/>
    <w:rsid w:val="00183F90"/>
    <w:rsid w:val="00184535"/>
    <w:rsid w:val="00190287"/>
    <w:rsid w:val="00190A8F"/>
    <w:rsid w:val="00192A1C"/>
    <w:rsid w:val="001A16D4"/>
    <w:rsid w:val="001B2911"/>
    <w:rsid w:val="001B3672"/>
    <w:rsid w:val="001D05B1"/>
    <w:rsid w:val="001D1042"/>
    <w:rsid w:val="001E18FC"/>
    <w:rsid w:val="00206C76"/>
    <w:rsid w:val="00210FC1"/>
    <w:rsid w:val="00217D1E"/>
    <w:rsid w:val="00223698"/>
    <w:rsid w:val="00225A5F"/>
    <w:rsid w:val="00234474"/>
    <w:rsid w:val="00235F9B"/>
    <w:rsid w:val="00237F48"/>
    <w:rsid w:val="00253397"/>
    <w:rsid w:val="002547D7"/>
    <w:rsid w:val="00255F96"/>
    <w:rsid w:val="00263CEB"/>
    <w:rsid w:val="002644AD"/>
    <w:rsid w:val="00267243"/>
    <w:rsid w:val="00283B2C"/>
    <w:rsid w:val="002A49C2"/>
    <w:rsid w:val="002A5822"/>
    <w:rsid w:val="002A75DB"/>
    <w:rsid w:val="002D0B27"/>
    <w:rsid w:val="002D1381"/>
    <w:rsid w:val="002D168D"/>
    <w:rsid w:val="002E0AC6"/>
    <w:rsid w:val="002E7A58"/>
    <w:rsid w:val="002F234A"/>
    <w:rsid w:val="00306B1C"/>
    <w:rsid w:val="003168D8"/>
    <w:rsid w:val="003224D9"/>
    <w:rsid w:val="003301CC"/>
    <w:rsid w:val="003302C9"/>
    <w:rsid w:val="00335FD9"/>
    <w:rsid w:val="00337AEB"/>
    <w:rsid w:val="003416A2"/>
    <w:rsid w:val="00343648"/>
    <w:rsid w:val="00351865"/>
    <w:rsid w:val="00357BF0"/>
    <w:rsid w:val="00367E13"/>
    <w:rsid w:val="00370485"/>
    <w:rsid w:val="00373A69"/>
    <w:rsid w:val="00375F41"/>
    <w:rsid w:val="0037705D"/>
    <w:rsid w:val="0038136B"/>
    <w:rsid w:val="00382070"/>
    <w:rsid w:val="00391035"/>
    <w:rsid w:val="003A5D4E"/>
    <w:rsid w:val="003C19A3"/>
    <w:rsid w:val="003C4E3A"/>
    <w:rsid w:val="003D0FA3"/>
    <w:rsid w:val="003D138D"/>
    <w:rsid w:val="003F5865"/>
    <w:rsid w:val="004044C1"/>
    <w:rsid w:val="0044068A"/>
    <w:rsid w:val="00461DDB"/>
    <w:rsid w:val="0046534E"/>
    <w:rsid w:val="004667E3"/>
    <w:rsid w:val="00491679"/>
    <w:rsid w:val="004A46F1"/>
    <w:rsid w:val="004B5759"/>
    <w:rsid w:val="004C2570"/>
    <w:rsid w:val="004C438B"/>
    <w:rsid w:val="004C4BBF"/>
    <w:rsid w:val="004C53F5"/>
    <w:rsid w:val="004D0DBE"/>
    <w:rsid w:val="004D304C"/>
    <w:rsid w:val="004D69BB"/>
    <w:rsid w:val="004E7767"/>
    <w:rsid w:val="004F739B"/>
    <w:rsid w:val="0051361F"/>
    <w:rsid w:val="005151E3"/>
    <w:rsid w:val="005153EC"/>
    <w:rsid w:val="00517A78"/>
    <w:rsid w:val="00521552"/>
    <w:rsid w:val="00521AB8"/>
    <w:rsid w:val="0052432E"/>
    <w:rsid w:val="005312DD"/>
    <w:rsid w:val="00536D69"/>
    <w:rsid w:val="005400C1"/>
    <w:rsid w:val="00541374"/>
    <w:rsid w:val="005452BA"/>
    <w:rsid w:val="00550259"/>
    <w:rsid w:val="005558FF"/>
    <w:rsid w:val="00556D75"/>
    <w:rsid w:val="00560A3B"/>
    <w:rsid w:val="005624A9"/>
    <w:rsid w:val="005728EA"/>
    <w:rsid w:val="00575268"/>
    <w:rsid w:val="00575396"/>
    <w:rsid w:val="005824CB"/>
    <w:rsid w:val="00584E5E"/>
    <w:rsid w:val="00587B0E"/>
    <w:rsid w:val="00593511"/>
    <w:rsid w:val="005A0251"/>
    <w:rsid w:val="005A3B2C"/>
    <w:rsid w:val="005A4A9B"/>
    <w:rsid w:val="005B1F51"/>
    <w:rsid w:val="005B4E15"/>
    <w:rsid w:val="005C1281"/>
    <w:rsid w:val="005D1110"/>
    <w:rsid w:val="005F56A5"/>
    <w:rsid w:val="00614F44"/>
    <w:rsid w:val="00617AB7"/>
    <w:rsid w:val="006212BC"/>
    <w:rsid w:val="00632422"/>
    <w:rsid w:val="00640035"/>
    <w:rsid w:val="006533E7"/>
    <w:rsid w:val="006549F6"/>
    <w:rsid w:val="00656AEE"/>
    <w:rsid w:val="006658BB"/>
    <w:rsid w:val="00667138"/>
    <w:rsid w:val="00691F0B"/>
    <w:rsid w:val="0069430B"/>
    <w:rsid w:val="006A4299"/>
    <w:rsid w:val="006B2C3C"/>
    <w:rsid w:val="006C1DBB"/>
    <w:rsid w:val="006E0452"/>
    <w:rsid w:val="006E06BF"/>
    <w:rsid w:val="00704036"/>
    <w:rsid w:val="00710F16"/>
    <w:rsid w:val="007162F9"/>
    <w:rsid w:val="0072272C"/>
    <w:rsid w:val="007339DD"/>
    <w:rsid w:val="0073799A"/>
    <w:rsid w:val="00752EB6"/>
    <w:rsid w:val="00772E0C"/>
    <w:rsid w:val="00785B63"/>
    <w:rsid w:val="007A029B"/>
    <w:rsid w:val="007A3E00"/>
    <w:rsid w:val="007A47EE"/>
    <w:rsid w:val="007B4FAA"/>
    <w:rsid w:val="007C4E7B"/>
    <w:rsid w:val="007D26C7"/>
    <w:rsid w:val="007E64F1"/>
    <w:rsid w:val="00813C1A"/>
    <w:rsid w:val="00825C9D"/>
    <w:rsid w:val="00837FCA"/>
    <w:rsid w:val="00840929"/>
    <w:rsid w:val="00845D88"/>
    <w:rsid w:val="00852490"/>
    <w:rsid w:val="00867441"/>
    <w:rsid w:val="0086758D"/>
    <w:rsid w:val="00884337"/>
    <w:rsid w:val="008A0464"/>
    <w:rsid w:val="008B688C"/>
    <w:rsid w:val="008D566A"/>
    <w:rsid w:val="008D79C4"/>
    <w:rsid w:val="008E06EB"/>
    <w:rsid w:val="008F0DFD"/>
    <w:rsid w:val="009030A9"/>
    <w:rsid w:val="00912811"/>
    <w:rsid w:val="00917D7C"/>
    <w:rsid w:val="0092286F"/>
    <w:rsid w:val="009357EE"/>
    <w:rsid w:val="00935D20"/>
    <w:rsid w:val="00960832"/>
    <w:rsid w:val="0096622C"/>
    <w:rsid w:val="009758B2"/>
    <w:rsid w:val="0097676C"/>
    <w:rsid w:val="0097680B"/>
    <w:rsid w:val="00980919"/>
    <w:rsid w:val="00985FDE"/>
    <w:rsid w:val="009C6D94"/>
    <w:rsid w:val="009D187D"/>
    <w:rsid w:val="009D4F2E"/>
    <w:rsid w:val="009F7ECB"/>
    <w:rsid w:val="00A0362F"/>
    <w:rsid w:val="00A2547A"/>
    <w:rsid w:val="00A25486"/>
    <w:rsid w:val="00A362CC"/>
    <w:rsid w:val="00A37272"/>
    <w:rsid w:val="00A41F04"/>
    <w:rsid w:val="00A45AB3"/>
    <w:rsid w:val="00A5301A"/>
    <w:rsid w:val="00A543E0"/>
    <w:rsid w:val="00A66226"/>
    <w:rsid w:val="00A711F0"/>
    <w:rsid w:val="00A83881"/>
    <w:rsid w:val="00A860AE"/>
    <w:rsid w:val="00A92BED"/>
    <w:rsid w:val="00A93BD3"/>
    <w:rsid w:val="00AA15EC"/>
    <w:rsid w:val="00AD32D8"/>
    <w:rsid w:val="00AD4A7E"/>
    <w:rsid w:val="00AE112C"/>
    <w:rsid w:val="00AE7385"/>
    <w:rsid w:val="00AE7DC6"/>
    <w:rsid w:val="00AF2A07"/>
    <w:rsid w:val="00AF40F4"/>
    <w:rsid w:val="00B00E1B"/>
    <w:rsid w:val="00B22BF7"/>
    <w:rsid w:val="00B40869"/>
    <w:rsid w:val="00B6061A"/>
    <w:rsid w:val="00B61C9E"/>
    <w:rsid w:val="00B61F02"/>
    <w:rsid w:val="00B70051"/>
    <w:rsid w:val="00B715D1"/>
    <w:rsid w:val="00B72841"/>
    <w:rsid w:val="00B83A06"/>
    <w:rsid w:val="00B86C6D"/>
    <w:rsid w:val="00BB6487"/>
    <w:rsid w:val="00BC6F06"/>
    <w:rsid w:val="00BD4953"/>
    <w:rsid w:val="00BD5E46"/>
    <w:rsid w:val="00BD7887"/>
    <w:rsid w:val="00BE418D"/>
    <w:rsid w:val="00BE668E"/>
    <w:rsid w:val="00BF2653"/>
    <w:rsid w:val="00C01251"/>
    <w:rsid w:val="00C06A3D"/>
    <w:rsid w:val="00C20221"/>
    <w:rsid w:val="00C20A16"/>
    <w:rsid w:val="00C22D63"/>
    <w:rsid w:val="00C231EA"/>
    <w:rsid w:val="00C26110"/>
    <w:rsid w:val="00C33499"/>
    <w:rsid w:val="00C372D2"/>
    <w:rsid w:val="00C411DB"/>
    <w:rsid w:val="00C43F49"/>
    <w:rsid w:val="00C55D1F"/>
    <w:rsid w:val="00C70FD9"/>
    <w:rsid w:val="00C76472"/>
    <w:rsid w:val="00C77023"/>
    <w:rsid w:val="00C87EAA"/>
    <w:rsid w:val="00C92295"/>
    <w:rsid w:val="00C94A51"/>
    <w:rsid w:val="00CA0B19"/>
    <w:rsid w:val="00CA2F4E"/>
    <w:rsid w:val="00CB47D8"/>
    <w:rsid w:val="00CB7BE5"/>
    <w:rsid w:val="00CD2395"/>
    <w:rsid w:val="00CD4550"/>
    <w:rsid w:val="00CE2BB4"/>
    <w:rsid w:val="00CF054C"/>
    <w:rsid w:val="00CF30B6"/>
    <w:rsid w:val="00D01BC4"/>
    <w:rsid w:val="00D0460D"/>
    <w:rsid w:val="00D13D2E"/>
    <w:rsid w:val="00D20D86"/>
    <w:rsid w:val="00D270C3"/>
    <w:rsid w:val="00D36EA4"/>
    <w:rsid w:val="00D429C3"/>
    <w:rsid w:val="00D55B4E"/>
    <w:rsid w:val="00D75FF2"/>
    <w:rsid w:val="00D76028"/>
    <w:rsid w:val="00D778B6"/>
    <w:rsid w:val="00DA0D73"/>
    <w:rsid w:val="00DA2166"/>
    <w:rsid w:val="00DA27BD"/>
    <w:rsid w:val="00DC59FB"/>
    <w:rsid w:val="00DD6996"/>
    <w:rsid w:val="00DE4F0A"/>
    <w:rsid w:val="00E062A9"/>
    <w:rsid w:val="00E13A0B"/>
    <w:rsid w:val="00E234CC"/>
    <w:rsid w:val="00E2476B"/>
    <w:rsid w:val="00E27DC6"/>
    <w:rsid w:val="00E37C4A"/>
    <w:rsid w:val="00E462A0"/>
    <w:rsid w:val="00E51F41"/>
    <w:rsid w:val="00E64455"/>
    <w:rsid w:val="00E67991"/>
    <w:rsid w:val="00E7016F"/>
    <w:rsid w:val="00E81D3A"/>
    <w:rsid w:val="00E83BE3"/>
    <w:rsid w:val="00E850C9"/>
    <w:rsid w:val="00E87A0C"/>
    <w:rsid w:val="00E91DEC"/>
    <w:rsid w:val="00E95AF5"/>
    <w:rsid w:val="00E970AA"/>
    <w:rsid w:val="00EA4849"/>
    <w:rsid w:val="00EB56FB"/>
    <w:rsid w:val="00EB6E4C"/>
    <w:rsid w:val="00EC2430"/>
    <w:rsid w:val="00EE6D36"/>
    <w:rsid w:val="00EF6833"/>
    <w:rsid w:val="00EF6B70"/>
    <w:rsid w:val="00F055B6"/>
    <w:rsid w:val="00F05B3A"/>
    <w:rsid w:val="00F259A6"/>
    <w:rsid w:val="00F35ED0"/>
    <w:rsid w:val="00F41AF6"/>
    <w:rsid w:val="00F53C1F"/>
    <w:rsid w:val="00F711DE"/>
    <w:rsid w:val="00F74DDA"/>
    <w:rsid w:val="00F878C4"/>
    <w:rsid w:val="00FB79EA"/>
    <w:rsid w:val="00FE1371"/>
    <w:rsid w:val="00FE40A7"/>
    <w:rsid w:val="00FE5E7F"/>
    <w:rsid w:val="00FF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AD6473"/>
  <w15:chartTrackingRefBased/>
  <w15:docId w15:val="{E472D471-13B8-4B6E-9763-51B18E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C"/>
    <w:pPr>
      <w:suppressAutoHyphens/>
    </w:pPr>
    <w:rPr>
      <w:sz w:val="24"/>
      <w:szCs w:val="24"/>
      <w:lang w:val="hr-HR"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bsatz-Standardschriftart">
    <w:name w:val="Absatz-Standardschriftart"/>
    <w:rsid w:val="00FE40A7"/>
  </w:style>
  <w:style w:type="character" w:customStyle="1" w:styleId="WW-Absatz-Standardschriftart">
    <w:name w:val="WW-Absatz-Standardschriftart"/>
    <w:rsid w:val="00FE40A7"/>
  </w:style>
  <w:style w:type="character" w:customStyle="1" w:styleId="WW8Num2z0">
    <w:name w:val="WW8Num2z0"/>
    <w:rsid w:val="00FE40A7"/>
    <w:rPr>
      <w:rFonts w:ascii="Tahoma" w:hAnsi="Tahoma"/>
    </w:rPr>
  </w:style>
  <w:style w:type="character" w:customStyle="1" w:styleId="WW8Num2z1">
    <w:name w:val="WW8Num2z1"/>
    <w:rsid w:val="00FE40A7"/>
    <w:rPr>
      <w:rFonts w:ascii="Courier New" w:hAnsi="Courier New"/>
    </w:rPr>
  </w:style>
  <w:style w:type="character" w:customStyle="1" w:styleId="WW8Num2z2">
    <w:name w:val="WW8Num2z2"/>
    <w:rsid w:val="00FE40A7"/>
    <w:rPr>
      <w:rFonts w:ascii="Wingdings" w:hAnsi="Wingdings"/>
    </w:rPr>
  </w:style>
  <w:style w:type="character" w:customStyle="1" w:styleId="WW8Num2z3">
    <w:name w:val="WW8Num2z3"/>
    <w:rsid w:val="00FE40A7"/>
    <w:rPr>
      <w:rFonts w:ascii="Symbol" w:hAnsi="Symbol"/>
    </w:rPr>
  </w:style>
  <w:style w:type="character" w:customStyle="1" w:styleId="WW8Num3z0">
    <w:name w:val="WW8Num3z0"/>
    <w:rsid w:val="00FE40A7"/>
    <w:rPr>
      <w:rFonts w:ascii="Times New Roman" w:hAnsi="Times New Roman"/>
    </w:rPr>
  </w:style>
  <w:style w:type="character" w:customStyle="1" w:styleId="WW8Num3z1">
    <w:name w:val="WW8Num3z1"/>
    <w:rsid w:val="00FE40A7"/>
    <w:rPr>
      <w:rFonts w:ascii="Courier New" w:hAnsi="Courier New"/>
    </w:rPr>
  </w:style>
  <w:style w:type="character" w:customStyle="1" w:styleId="WW8Num3z2">
    <w:name w:val="WW8Num3z2"/>
    <w:rsid w:val="00FE40A7"/>
    <w:rPr>
      <w:rFonts w:ascii="Wingdings" w:hAnsi="Wingdings"/>
    </w:rPr>
  </w:style>
  <w:style w:type="character" w:customStyle="1" w:styleId="WW8Num3z3">
    <w:name w:val="WW8Num3z3"/>
    <w:rsid w:val="00FE40A7"/>
    <w:rPr>
      <w:rFonts w:ascii="Symbol" w:hAnsi="Symbol"/>
    </w:rPr>
  </w:style>
  <w:style w:type="character" w:customStyle="1" w:styleId="Zadanifontodlomka1">
    <w:name w:val="Zadani font odlomka1"/>
    <w:rsid w:val="00FE40A7"/>
  </w:style>
  <w:style w:type="paragraph" w:customStyle="1" w:styleId="Naslov1">
    <w:name w:val="Naslov1"/>
    <w:basedOn w:val="Normal"/>
    <w:next w:val="Tijeloteksta"/>
    <w:rsid w:val="00FE40A7"/>
    <w:pPr>
      <w:keepNext/>
      <w:spacing w:before="240" w:after="120"/>
    </w:pPr>
    <w:rPr>
      <w:rFonts w:ascii="Arial" w:hAnsi="Arial" w:cs="Tahoma"/>
      <w:sz w:val="28"/>
      <w:szCs w:val="28"/>
    </w:rPr>
  </w:style>
  <w:style w:type="paragraph" w:styleId="Tijeloteksta">
    <w:name w:val="Body Text"/>
    <w:basedOn w:val="Normal"/>
    <w:rsid w:val="00FE40A7"/>
    <w:pPr>
      <w:spacing w:after="120"/>
    </w:pPr>
  </w:style>
  <w:style w:type="paragraph" w:styleId="Popis">
    <w:name w:val="List"/>
    <w:basedOn w:val="Tijeloteksta"/>
    <w:rsid w:val="00FE40A7"/>
    <w:rPr>
      <w:rFonts w:ascii="Tahoma" w:hAnsi="Tahoma" w:cs="Tahoma"/>
    </w:rPr>
  </w:style>
  <w:style w:type="paragraph" w:customStyle="1" w:styleId="Opis">
    <w:name w:val="Opis"/>
    <w:basedOn w:val="Normal"/>
    <w:rsid w:val="00FE40A7"/>
    <w:pPr>
      <w:suppressLineNumbers/>
      <w:spacing w:before="120" w:after="120"/>
    </w:pPr>
    <w:rPr>
      <w:rFonts w:ascii="Tahoma" w:hAnsi="Tahoma" w:cs="Tahoma"/>
      <w:i/>
      <w:iCs/>
    </w:rPr>
  </w:style>
  <w:style w:type="paragraph" w:customStyle="1" w:styleId="Indeks">
    <w:name w:val="Indeks"/>
    <w:basedOn w:val="Normal"/>
    <w:rsid w:val="00FE40A7"/>
    <w:pPr>
      <w:suppressLineNumbers/>
    </w:pPr>
    <w:rPr>
      <w:rFonts w:ascii="Tahoma" w:hAnsi="Tahoma" w:cs="Tahoma"/>
    </w:rPr>
  </w:style>
  <w:style w:type="character" w:styleId="Istaknuto">
    <w:name w:val="Emphasis"/>
    <w:qFormat/>
    <w:rsid w:val="00E062A9"/>
    <w:rPr>
      <w:rFonts w:cs="Times New Roman"/>
      <w:i/>
      <w:iCs/>
    </w:rPr>
  </w:style>
  <w:style w:type="character" w:styleId="Naglaeno">
    <w:name w:val="Strong"/>
    <w:qFormat/>
    <w:rsid w:val="00F41AF6"/>
    <w:rPr>
      <w:rFonts w:cs="Times New Roman"/>
      <w:b/>
      <w:bCs/>
    </w:rPr>
  </w:style>
  <w:style w:type="table" w:styleId="Reetkatablice">
    <w:name w:val="Table Grid"/>
    <w:basedOn w:val="Obinatablica"/>
    <w:rsid w:val="005558FF"/>
    <w:rPr>
      <w:lang w:val="hr-HR"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8B688C"/>
    <w:pPr>
      <w:ind w:left="708"/>
    </w:pPr>
  </w:style>
  <w:style w:type="paragraph" w:styleId="Odlomakpopisa">
    <w:name w:val="List Paragraph"/>
    <w:basedOn w:val="Normal"/>
    <w:uiPriority w:val="34"/>
    <w:qFormat/>
    <w:rsid w:val="00C43F49"/>
    <w:pPr>
      <w:ind w:left="720"/>
      <w:contextualSpacing/>
    </w:pPr>
  </w:style>
  <w:style w:type="paragraph" w:styleId="Tekstbalonia">
    <w:name w:val="Balloon Text"/>
    <w:basedOn w:val="Normal"/>
    <w:link w:val="TekstbaloniaChar"/>
    <w:semiHidden/>
    <w:unhideWhenUsed/>
    <w:rsid w:val="009D4F2E"/>
    <w:rPr>
      <w:rFonts w:ascii="Segoe UI" w:hAnsi="Segoe UI" w:cs="Segoe UI"/>
      <w:sz w:val="18"/>
      <w:szCs w:val="18"/>
    </w:rPr>
  </w:style>
  <w:style w:type="character" w:customStyle="1" w:styleId="TekstbaloniaChar">
    <w:name w:val="Tekst balončića Char"/>
    <w:basedOn w:val="Zadanifontodlomka"/>
    <w:link w:val="Tekstbalonia"/>
    <w:semiHidden/>
    <w:rsid w:val="009D4F2E"/>
    <w:rPr>
      <w:rFonts w:ascii="Segoe UI" w:hAnsi="Segoe UI" w:cs="Segoe UI"/>
      <w:sz w:val="18"/>
      <w:szCs w:val="18"/>
      <w:lang w:val="hr-H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1967</Words>
  <Characters>11216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RAZDJEL:                  080</vt:lpstr>
    </vt:vector>
  </TitlesOfParts>
  <Company>Škola</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RAZDJEL:                  080</dc:title>
  <dc:subject/>
  <dc:creator>OŠ Đuro Ester</dc:creator>
  <cp:keywords/>
  <dc:description/>
  <cp:lastModifiedBy>Mirjana Kolarek</cp:lastModifiedBy>
  <cp:revision>7</cp:revision>
  <cp:lastPrinted>2022-01-28T08:44:00Z</cp:lastPrinted>
  <dcterms:created xsi:type="dcterms:W3CDTF">2022-01-27T14:46:00Z</dcterms:created>
  <dcterms:modified xsi:type="dcterms:W3CDTF">2022-01-28T09:19:00Z</dcterms:modified>
</cp:coreProperties>
</file>